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F9" w:rsidRDefault="00842DF9" w:rsidP="00842DF9">
      <w:pPr>
        <w:spacing w:line="516" w:lineRule="atLeast"/>
        <w:rPr>
          <w:b/>
          <w:bCs/>
        </w:rPr>
      </w:pPr>
      <w:r w:rsidRPr="00073D4F">
        <w:rPr>
          <w:b/>
          <w:bCs/>
        </w:rPr>
        <w:t>KEY THEMES</w:t>
      </w:r>
    </w:p>
    <w:p w:rsidR="007B02B0" w:rsidRDefault="007B02B0" w:rsidP="00842DF9">
      <w:pPr>
        <w:spacing w:line="516" w:lineRule="atLeast"/>
        <w:rPr>
          <w:b/>
          <w:bCs/>
        </w:rPr>
      </w:pPr>
      <w:r>
        <w:rPr>
          <w:b/>
          <w:bCs/>
        </w:rPr>
        <w:t>Key Themes-Process Items</w:t>
      </w:r>
    </w:p>
    <w:p w:rsidR="007B02B0" w:rsidRDefault="007B02B0" w:rsidP="007B02B0">
      <w:pPr>
        <w:pStyle w:val="Style1"/>
        <w:adjustRightInd/>
        <w:rPr>
          <w:sz w:val="24"/>
        </w:rPr>
      </w:pPr>
    </w:p>
    <w:p w:rsidR="00842DF9" w:rsidRPr="007B02B0" w:rsidRDefault="00842DF9" w:rsidP="007B02B0">
      <w:pPr>
        <w:pStyle w:val="Style1"/>
        <w:adjustRightInd/>
        <w:rPr>
          <w:sz w:val="24"/>
        </w:rPr>
      </w:pPr>
      <w:r w:rsidRPr="007B02B0">
        <w:rPr>
          <w:sz w:val="24"/>
        </w:rPr>
        <w:t>___________</w:t>
      </w:r>
      <w:r w:rsidR="00163EF4" w:rsidRPr="007B02B0">
        <w:rPr>
          <w:sz w:val="24"/>
        </w:rPr>
        <w:t>________ scored in band number _</w:t>
      </w:r>
      <w:r w:rsidR="004323EE" w:rsidRPr="007B02B0">
        <w:rPr>
          <w:sz w:val="24"/>
        </w:rPr>
        <w:t>_ for</w:t>
      </w:r>
      <w:r w:rsidR="007B02B0" w:rsidRPr="007B02B0">
        <w:rPr>
          <w:sz w:val="24"/>
        </w:rPr>
        <w:t xml:space="preserve"> process </w:t>
      </w:r>
      <w:r w:rsidR="004323EE" w:rsidRPr="007B02B0">
        <w:rPr>
          <w:sz w:val="24"/>
        </w:rPr>
        <w:t>items (</w:t>
      </w:r>
      <w:r w:rsidR="007B02B0" w:rsidRPr="007B02B0">
        <w:rPr>
          <w:sz w:val="24"/>
        </w:rPr>
        <w:t xml:space="preserve">1.1-6.2) </w:t>
      </w:r>
      <w:r w:rsidR="004323EE">
        <w:rPr>
          <w:sz w:val="24"/>
        </w:rPr>
        <w:t xml:space="preserve">as a result of the </w:t>
      </w:r>
      <w:proofErr w:type="gramStart"/>
      <w:r w:rsidR="004323EE">
        <w:rPr>
          <w:sz w:val="24"/>
        </w:rPr>
        <w:t xml:space="preserve">review </w:t>
      </w:r>
      <w:r w:rsidRPr="007B02B0">
        <w:rPr>
          <w:sz w:val="24"/>
        </w:rPr>
        <w:t xml:space="preserve"> </w:t>
      </w:r>
      <w:r w:rsidRPr="007B02B0">
        <w:rPr>
          <w:bCs/>
          <w:sz w:val="24"/>
        </w:rPr>
        <w:t>of</w:t>
      </w:r>
      <w:proofErr w:type="gramEnd"/>
      <w:r w:rsidRPr="007B02B0">
        <w:rPr>
          <w:bCs/>
          <w:sz w:val="24"/>
        </w:rPr>
        <w:t xml:space="preserve"> the writte</w:t>
      </w:r>
      <w:r w:rsidR="007B02B0" w:rsidRPr="007B02B0">
        <w:rPr>
          <w:bCs/>
          <w:sz w:val="24"/>
        </w:rPr>
        <w:t>n application</w:t>
      </w:r>
      <w:r w:rsidRPr="007B02B0">
        <w:rPr>
          <w:bCs/>
          <w:sz w:val="24"/>
        </w:rPr>
        <w:t xml:space="preserve"> conducted by KYCPE Examiners. Scoring bands are explained in Baldrige criteria documenta</w:t>
      </w:r>
      <w:r w:rsidR="009312E1" w:rsidRPr="007B02B0">
        <w:rPr>
          <w:bCs/>
          <w:sz w:val="24"/>
        </w:rPr>
        <w:t>t</w:t>
      </w:r>
      <w:r w:rsidR="007B02B0" w:rsidRPr="007B02B0">
        <w:rPr>
          <w:bCs/>
          <w:sz w:val="24"/>
        </w:rPr>
        <w:t xml:space="preserve">ion and this band relates to a </w:t>
      </w:r>
      <w:r w:rsidRPr="007B02B0">
        <w:rPr>
          <w:bCs/>
          <w:sz w:val="24"/>
        </w:rPr>
        <w:t>score total in the</w:t>
      </w:r>
      <w:r w:rsidR="007B02B0" w:rsidRPr="007B02B0">
        <w:rPr>
          <w:bCs/>
          <w:sz w:val="24"/>
        </w:rPr>
        <w:t xml:space="preserve"> xxx-xxx</w:t>
      </w:r>
      <w:r w:rsidRPr="007B02B0">
        <w:rPr>
          <w:bCs/>
          <w:sz w:val="24"/>
        </w:rPr>
        <w:t xml:space="preserve"> _______ area.</w:t>
      </w:r>
    </w:p>
    <w:p w:rsidR="007B02B0" w:rsidRDefault="007B02B0" w:rsidP="00842DF9">
      <w:pPr>
        <w:ind w:left="360" w:hanging="360"/>
        <w:rPr>
          <w:bCs/>
        </w:rPr>
      </w:pPr>
    </w:p>
    <w:p w:rsidR="007B02B0" w:rsidRDefault="007B02B0" w:rsidP="00842DF9">
      <w:pPr>
        <w:ind w:left="360" w:hanging="360"/>
        <w:rPr>
          <w:bCs/>
        </w:rPr>
      </w:pPr>
      <w:r>
        <w:rPr>
          <w:bCs/>
        </w:rPr>
        <w:t>An organization in band __ for process items …….</w:t>
      </w:r>
    </w:p>
    <w:p w:rsidR="00842DF9" w:rsidRDefault="00842DF9" w:rsidP="00842DF9">
      <w:pPr>
        <w:ind w:left="360" w:hanging="360"/>
        <w:rPr>
          <w:b/>
          <w:bCs/>
        </w:rPr>
      </w:pPr>
    </w:p>
    <w:p w:rsidR="00842DF9" w:rsidRDefault="00842DF9" w:rsidP="00842DF9">
      <w:pPr>
        <w:rPr>
          <w:b/>
          <w:bCs/>
        </w:rPr>
      </w:pPr>
      <w:r>
        <w:rPr>
          <w:b/>
          <w:bCs/>
        </w:rPr>
        <w:t>a. The most important strengths or outstanding practices (of potential value to oth</w:t>
      </w:r>
      <w:r w:rsidR="00B83646">
        <w:rPr>
          <w:b/>
          <w:bCs/>
        </w:rPr>
        <w:t xml:space="preserve">er organizations) identified </w:t>
      </w:r>
      <w:proofErr w:type="gramStart"/>
      <w:r w:rsidR="00B83646">
        <w:rPr>
          <w:b/>
          <w:bCs/>
        </w:rPr>
        <w:t>in  _</w:t>
      </w:r>
      <w:proofErr w:type="gramEnd"/>
      <w:r w:rsidR="00B83646">
        <w:rPr>
          <w:b/>
          <w:bCs/>
        </w:rPr>
        <w:t>_________response to Process items are as follows</w:t>
      </w:r>
      <w:r>
        <w:rPr>
          <w:b/>
          <w:bCs/>
        </w:rPr>
        <w:t>:</w:t>
      </w:r>
    </w:p>
    <w:p w:rsidR="00842DF9" w:rsidRDefault="00842DF9" w:rsidP="00842DF9">
      <w:pPr>
        <w:rPr>
          <w:b/>
          <w:bCs/>
        </w:rPr>
      </w:pPr>
    </w:p>
    <w:p w:rsidR="007B02B0" w:rsidRDefault="00842DF9" w:rsidP="00842DF9">
      <w:pPr>
        <w:ind w:left="360" w:right="144" w:hanging="360"/>
        <w:rPr>
          <w:b/>
          <w:bCs/>
        </w:rPr>
      </w:pPr>
      <w:r>
        <w:rPr>
          <w:b/>
          <w:bCs/>
        </w:rPr>
        <w:t>b. The most significant opportunities, concerns, or</w:t>
      </w:r>
      <w:r w:rsidR="00DC2677">
        <w:rPr>
          <w:b/>
          <w:bCs/>
        </w:rPr>
        <w:t xml:space="preserve"> </w:t>
      </w:r>
      <w:proofErr w:type="gramStart"/>
      <w:r w:rsidR="00DC2677">
        <w:rPr>
          <w:b/>
          <w:bCs/>
        </w:rPr>
        <w:t xml:space="preserve">vulnerabilities </w:t>
      </w:r>
      <w:r w:rsidR="00B83646">
        <w:rPr>
          <w:b/>
          <w:bCs/>
        </w:rPr>
        <w:t xml:space="preserve"> identified</w:t>
      </w:r>
      <w:proofErr w:type="gramEnd"/>
      <w:r w:rsidR="00B83646">
        <w:rPr>
          <w:b/>
          <w:bCs/>
        </w:rPr>
        <w:t xml:space="preserve"> in </w:t>
      </w:r>
    </w:p>
    <w:p w:rsidR="007B02B0" w:rsidRDefault="00B83646" w:rsidP="00842DF9">
      <w:pPr>
        <w:ind w:left="360" w:right="144" w:hanging="360"/>
        <w:rPr>
          <w:b/>
          <w:bCs/>
        </w:rPr>
      </w:pPr>
      <w:r>
        <w:rPr>
          <w:b/>
          <w:bCs/>
        </w:rPr>
        <w:t>_________response to Process items are as follows:</w:t>
      </w:r>
    </w:p>
    <w:p w:rsidR="007B02B0" w:rsidRDefault="007B02B0" w:rsidP="00842DF9">
      <w:pPr>
        <w:ind w:left="360" w:right="144" w:hanging="360"/>
        <w:rPr>
          <w:b/>
          <w:bCs/>
        </w:rPr>
      </w:pPr>
    </w:p>
    <w:p w:rsidR="007B02B0" w:rsidRDefault="00842DF9" w:rsidP="00842DF9">
      <w:pPr>
        <w:ind w:left="360" w:right="144" w:hanging="360"/>
        <w:rPr>
          <w:b/>
          <w:bCs/>
        </w:rPr>
      </w:pPr>
      <w:r>
        <w:rPr>
          <w:b/>
          <w:bCs/>
        </w:rPr>
        <w:t xml:space="preserve">  </w:t>
      </w:r>
      <w:r w:rsidR="00AF6B3F">
        <w:rPr>
          <w:b/>
          <w:bCs/>
        </w:rPr>
        <w:t>Key Themes-</w:t>
      </w:r>
      <w:r w:rsidR="007B02B0">
        <w:rPr>
          <w:b/>
          <w:bCs/>
        </w:rPr>
        <w:t>Results Items</w:t>
      </w:r>
    </w:p>
    <w:p w:rsidR="007B02B0" w:rsidRDefault="007B02B0" w:rsidP="007B02B0">
      <w:pPr>
        <w:pStyle w:val="Style1"/>
        <w:adjustRightInd/>
        <w:rPr>
          <w:sz w:val="24"/>
        </w:rPr>
      </w:pPr>
    </w:p>
    <w:p w:rsidR="007B02B0" w:rsidRPr="007B02B0" w:rsidRDefault="007B02B0" w:rsidP="007B02B0">
      <w:pPr>
        <w:pStyle w:val="Style1"/>
        <w:adjustRightInd/>
        <w:rPr>
          <w:sz w:val="24"/>
        </w:rPr>
      </w:pPr>
      <w:r w:rsidRPr="007B02B0">
        <w:rPr>
          <w:sz w:val="24"/>
        </w:rPr>
        <w:t>___________________ scored in band number _</w:t>
      </w:r>
      <w:r w:rsidR="004323EE" w:rsidRPr="007B02B0">
        <w:rPr>
          <w:sz w:val="24"/>
        </w:rPr>
        <w:t xml:space="preserve">_ </w:t>
      </w:r>
      <w:r w:rsidR="004323EE">
        <w:rPr>
          <w:sz w:val="24"/>
        </w:rPr>
        <w:t>for</w:t>
      </w:r>
      <w:r>
        <w:rPr>
          <w:sz w:val="24"/>
        </w:rPr>
        <w:t xml:space="preserve"> </w:t>
      </w:r>
      <w:r w:rsidR="004323EE">
        <w:rPr>
          <w:sz w:val="24"/>
        </w:rPr>
        <w:t xml:space="preserve">results </w:t>
      </w:r>
      <w:r w:rsidR="004323EE" w:rsidRPr="007B02B0">
        <w:rPr>
          <w:sz w:val="24"/>
        </w:rPr>
        <w:t>items</w:t>
      </w:r>
      <w:r w:rsidR="004323EE">
        <w:rPr>
          <w:sz w:val="24"/>
        </w:rPr>
        <w:t xml:space="preserve">  (7</w:t>
      </w:r>
      <w:r>
        <w:rPr>
          <w:sz w:val="24"/>
        </w:rPr>
        <w:t xml:space="preserve">.1-7.5) </w:t>
      </w:r>
      <w:r w:rsidRPr="007B02B0">
        <w:rPr>
          <w:sz w:val="24"/>
        </w:rPr>
        <w:t xml:space="preserve"> as a result of the review   </w:t>
      </w:r>
      <w:r w:rsidRPr="007B02B0">
        <w:rPr>
          <w:bCs/>
          <w:sz w:val="24"/>
        </w:rPr>
        <w:t>of the written application conducted by KYCPE Examiners. Scoring bands are explained in Baldrige criteria documentation and this band relates to a score total in the xxx-xxx _______ area.</w:t>
      </w:r>
    </w:p>
    <w:p w:rsidR="007B02B0" w:rsidRDefault="007B02B0" w:rsidP="007B02B0">
      <w:pPr>
        <w:ind w:left="360" w:hanging="360"/>
        <w:rPr>
          <w:bCs/>
        </w:rPr>
      </w:pPr>
    </w:p>
    <w:p w:rsidR="007B02B0" w:rsidRDefault="007B02B0" w:rsidP="007B02B0">
      <w:pPr>
        <w:ind w:left="360" w:hanging="360"/>
        <w:rPr>
          <w:bCs/>
        </w:rPr>
      </w:pPr>
      <w:r>
        <w:rPr>
          <w:bCs/>
        </w:rPr>
        <w:t>An organization in band __ for results items …….</w:t>
      </w:r>
    </w:p>
    <w:p w:rsidR="007B02B0" w:rsidRDefault="007B02B0" w:rsidP="007B02B0">
      <w:pPr>
        <w:ind w:left="360" w:hanging="360"/>
        <w:rPr>
          <w:b/>
          <w:bCs/>
        </w:rPr>
      </w:pPr>
    </w:p>
    <w:p w:rsidR="007B02B0" w:rsidRDefault="007B02B0" w:rsidP="00842DF9">
      <w:pPr>
        <w:ind w:left="360" w:right="144" w:hanging="360"/>
        <w:rPr>
          <w:b/>
          <w:bCs/>
        </w:rPr>
      </w:pPr>
    </w:p>
    <w:p w:rsidR="00842DF9" w:rsidRDefault="00842DF9" w:rsidP="007B02B0">
      <w:pPr>
        <w:ind w:left="360" w:right="144" w:hanging="360"/>
        <w:rPr>
          <w:b/>
          <w:bCs/>
        </w:rPr>
      </w:pPr>
      <w:r>
        <w:rPr>
          <w:b/>
          <w:bCs/>
        </w:rPr>
        <w:t xml:space="preserve"> </w:t>
      </w:r>
      <w:r w:rsidR="00B83646">
        <w:rPr>
          <w:b/>
          <w:bCs/>
        </w:rPr>
        <w:t xml:space="preserve"> c. </w:t>
      </w:r>
      <w:r>
        <w:rPr>
          <w:b/>
          <w:bCs/>
        </w:rPr>
        <w:t xml:space="preserve">Considering ________ key business/organization factors, the most significant </w:t>
      </w:r>
      <w:r w:rsidR="00B83646">
        <w:rPr>
          <w:b/>
          <w:bCs/>
          <w:spacing w:val="-2"/>
        </w:rPr>
        <w:t xml:space="preserve">strengths </w:t>
      </w:r>
      <w:r w:rsidR="00B83646">
        <w:rPr>
          <w:b/>
          <w:bCs/>
        </w:rPr>
        <w:t>found</w:t>
      </w:r>
      <w:r>
        <w:rPr>
          <w:b/>
          <w:bCs/>
        </w:rPr>
        <w:t xml:space="preserve"> in its response to Results Items are as follows:</w:t>
      </w:r>
    </w:p>
    <w:p w:rsidR="00842DF9" w:rsidRDefault="00842DF9" w:rsidP="00842DF9">
      <w:pPr>
        <w:ind w:left="360" w:right="144" w:hanging="360"/>
        <w:rPr>
          <w:b/>
          <w:bCs/>
        </w:rPr>
      </w:pPr>
    </w:p>
    <w:p w:rsidR="00842DF9" w:rsidRDefault="00B83646" w:rsidP="00842DF9">
      <w:pPr>
        <w:ind w:left="360" w:right="144" w:hanging="360"/>
        <w:rPr>
          <w:b/>
          <w:bCs/>
        </w:rPr>
      </w:pPr>
      <w:proofErr w:type="gramStart"/>
      <w:r>
        <w:rPr>
          <w:b/>
        </w:rPr>
        <w:t>d</w:t>
      </w:r>
      <w:r w:rsidR="00842DF9" w:rsidRPr="00842DF9">
        <w:rPr>
          <w:b/>
          <w:bCs/>
        </w:rPr>
        <w:t xml:space="preserve"> </w:t>
      </w:r>
      <w:r>
        <w:rPr>
          <w:b/>
          <w:bCs/>
        </w:rPr>
        <w:t>.</w:t>
      </w:r>
      <w:proofErr w:type="gramEnd"/>
      <w:r>
        <w:rPr>
          <w:b/>
          <w:bCs/>
        </w:rPr>
        <w:t xml:space="preserve">  </w:t>
      </w:r>
      <w:r w:rsidR="00842DF9">
        <w:rPr>
          <w:b/>
          <w:bCs/>
        </w:rPr>
        <w:t xml:space="preserve">Considering_______ key business/organization factors, the most </w:t>
      </w:r>
      <w:r w:rsidR="009312E1">
        <w:rPr>
          <w:b/>
          <w:bCs/>
        </w:rPr>
        <w:t xml:space="preserve">significant </w:t>
      </w:r>
      <w:r w:rsidR="009312E1">
        <w:rPr>
          <w:b/>
          <w:bCs/>
          <w:spacing w:val="-2"/>
        </w:rPr>
        <w:t>opportunities</w:t>
      </w:r>
      <w:r w:rsidR="00842DF9">
        <w:rPr>
          <w:b/>
          <w:bCs/>
          <w:spacing w:val="-2"/>
        </w:rPr>
        <w:t xml:space="preserve">, vulnerabilities, and/or gaps (related to data, comparisons, </w:t>
      </w:r>
      <w:r w:rsidR="009312E1">
        <w:rPr>
          <w:b/>
          <w:bCs/>
        </w:rPr>
        <w:t>and linkages</w:t>
      </w:r>
      <w:r w:rsidR="00842DF9">
        <w:rPr>
          <w:b/>
          <w:bCs/>
        </w:rPr>
        <w:t>) found in its response to Results Items are as follows:</w:t>
      </w:r>
    </w:p>
    <w:p w:rsidR="00842DF9" w:rsidRDefault="00842DF9" w:rsidP="00842DF9">
      <w:pPr>
        <w:pStyle w:val="Style1"/>
        <w:adjustRightInd/>
        <w:rPr>
          <w:sz w:val="24"/>
        </w:rPr>
      </w:pPr>
    </w:p>
    <w:p w:rsidR="00842DF9" w:rsidRPr="00842DF9" w:rsidRDefault="00842DF9" w:rsidP="00842DF9">
      <w:pPr>
        <w:pStyle w:val="Style1"/>
        <w:adjustRightInd/>
        <w:rPr>
          <w:b/>
          <w:sz w:val="24"/>
        </w:rPr>
      </w:pPr>
    </w:p>
    <w:p w:rsidR="00111682" w:rsidRDefault="00111682" w:rsidP="00842DF9">
      <w:pPr>
        <w:spacing w:after="200"/>
        <w:ind w:right="144"/>
        <w:rPr>
          <w:b/>
          <w:bCs/>
          <w:spacing w:val="-2"/>
        </w:rPr>
      </w:pPr>
    </w:p>
    <w:p w:rsidR="00111682" w:rsidRDefault="00111682" w:rsidP="00842DF9">
      <w:pPr>
        <w:spacing w:after="200"/>
        <w:ind w:right="144"/>
        <w:rPr>
          <w:b/>
          <w:bCs/>
          <w:spacing w:val="-2"/>
        </w:rPr>
      </w:pPr>
    </w:p>
    <w:p w:rsidR="00111682" w:rsidRDefault="00111682" w:rsidP="00842DF9">
      <w:pPr>
        <w:spacing w:after="200"/>
        <w:ind w:right="144"/>
        <w:rPr>
          <w:b/>
          <w:bCs/>
          <w:spacing w:val="-2"/>
        </w:rPr>
      </w:pPr>
    </w:p>
    <w:p w:rsidR="00111682" w:rsidRDefault="00111682" w:rsidP="00842DF9">
      <w:pPr>
        <w:spacing w:after="200"/>
        <w:ind w:right="144"/>
        <w:rPr>
          <w:b/>
          <w:bCs/>
          <w:spacing w:val="-2"/>
        </w:rPr>
      </w:pPr>
    </w:p>
    <w:p w:rsidR="00111682" w:rsidRDefault="00111682" w:rsidP="00842DF9">
      <w:pPr>
        <w:spacing w:after="200"/>
        <w:ind w:right="144"/>
        <w:rPr>
          <w:b/>
          <w:bCs/>
          <w:spacing w:val="-2"/>
        </w:rPr>
      </w:pPr>
    </w:p>
    <w:p w:rsidR="00111682" w:rsidRDefault="00111682" w:rsidP="00842DF9">
      <w:pPr>
        <w:spacing w:after="200"/>
        <w:ind w:right="144"/>
        <w:rPr>
          <w:b/>
          <w:bCs/>
          <w:spacing w:val="-2"/>
        </w:rPr>
      </w:pPr>
    </w:p>
    <w:p w:rsidR="00842DF9" w:rsidRDefault="00842DF9" w:rsidP="00842DF9">
      <w:pPr>
        <w:spacing w:after="200"/>
        <w:ind w:right="144"/>
        <w:rPr>
          <w:b/>
          <w:bCs/>
          <w:spacing w:val="-2"/>
        </w:rPr>
      </w:pPr>
      <w:r>
        <w:rPr>
          <w:b/>
          <w:bCs/>
          <w:spacing w:val="-2"/>
        </w:rPr>
        <w:lastRenderedPageBreak/>
        <w:t xml:space="preserve">DETAILS OF STRENGTHS AND OPPORTUNITIES FOR IMPROVEMENT </w:t>
      </w:r>
    </w:p>
    <w:p w:rsidR="00842DF9" w:rsidRDefault="00842DF9" w:rsidP="00842DF9">
      <w:pPr>
        <w:spacing w:after="200"/>
        <w:ind w:right="144"/>
      </w:pPr>
      <w:r>
        <w:rPr>
          <w:b/>
          <w:bCs/>
        </w:rPr>
        <w:t>Category 1 Leadership</w:t>
      </w:r>
    </w:p>
    <w:p w:rsidR="00842DF9" w:rsidRDefault="00842DF9" w:rsidP="00842DF9">
      <w:pPr>
        <w:spacing w:line="504" w:lineRule="atLeast"/>
        <w:rPr>
          <w:b/>
          <w:bCs/>
        </w:rPr>
      </w:pPr>
      <w:r>
        <w:rPr>
          <w:b/>
          <w:bCs/>
        </w:rPr>
        <w:t>1.1 Senior Leadership</w:t>
      </w:r>
    </w:p>
    <w:p w:rsidR="00842DF9" w:rsidRDefault="00842DF9" w:rsidP="00842DF9">
      <w:pPr>
        <w:spacing w:before="180"/>
        <w:ind w:right="504"/>
      </w:pPr>
      <w:r>
        <w:rPr>
          <w:spacing w:val="-2"/>
        </w:rPr>
        <w:t>Your score in this Criteria Item for the consensus stage is in the ________ percentage range.</w:t>
      </w:r>
      <w:r w:rsidR="00111682">
        <w:rPr>
          <w:spacing w:val="-2"/>
        </w:rPr>
        <w:t xml:space="preserve"> </w:t>
      </w:r>
      <w:proofErr w:type="gramStart"/>
      <w:r w:rsidR="00111682">
        <w:rPr>
          <w:spacing w:val="-2"/>
        </w:rPr>
        <w:t>(</w:t>
      </w:r>
      <w:r>
        <w:t xml:space="preserve"> </w:t>
      </w:r>
      <w:r w:rsidR="00111682">
        <w:t>Please</w:t>
      </w:r>
      <w:proofErr w:type="gramEnd"/>
      <w:r w:rsidR="00111682">
        <w:t xml:space="preserve"> refer to the scoring guidelines for Process Items.)</w:t>
      </w:r>
    </w:p>
    <w:p w:rsidR="00842DF9" w:rsidRDefault="00842DF9" w:rsidP="00842DF9">
      <w:pPr>
        <w:spacing w:before="216"/>
      </w:pPr>
      <w:r>
        <w:t>STRENGTHS</w:t>
      </w:r>
    </w:p>
    <w:p w:rsidR="005A484D" w:rsidRDefault="005A484D" w:rsidP="00842DF9">
      <w:pPr>
        <w:spacing w:before="216"/>
      </w:pPr>
    </w:p>
    <w:p w:rsidR="00842DF9" w:rsidRDefault="00842DF9" w:rsidP="00842DF9">
      <w:r>
        <w:t>OPPORTUNITIES FOR IMPROVEMENT</w:t>
      </w:r>
    </w:p>
    <w:p w:rsidR="00AF35F0" w:rsidRDefault="00AF35F0">
      <w:pPr>
        <w:widowControl/>
        <w:autoSpaceDE/>
        <w:autoSpaceDN/>
        <w:rPr>
          <w:b/>
          <w:bCs/>
        </w:rPr>
      </w:pPr>
      <w:r>
        <w:rPr>
          <w:b/>
          <w:bCs/>
        </w:rPr>
        <w:br w:type="page"/>
      </w:r>
    </w:p>
    <w:p w:rsidR="005A484D" w:rsidRDefault="00D378C6" w:rsidP="005A484D">
      <w:pPr>
        <w:ind w:left="360" w:hanging="360"/>
        <w:rPr>
          <w:b/>
          <w:bCs/>
        </w:rPr>
      </w:pPr>
      <w:r>
        <w:rPr>
          <w:b/>
          <w:bCs/>
        </w:rPr>
        <w:lastRenderedPageBreak/>
        <w:t>1.2 Governance and Societal</w:t>
      </w:r>
      <w:r w:rsidR="00842DF9">
        <w:rPr>
          <w:b/>
          <w:bCs/>
        </w:rPr>
        <w:t xml:space="preserve"> Responsibilities</w:t>
      </w:r>
    </w:p>
    <w:p w:rsidR="00842DF9" w:rsidRDefault="00842DF9" w:rsidP="00842DF9">
      <w:pPr>
        <w:spacing w:before="180"/>
        <w:ind w:right="504"/>
      </w:pPr>
      <w:r>
        <w:rPr>
          <w:spacing w:val="-2"/>
        </w:rPr>
        <w:t>Your score in this Criteria Item for the consensus stage is in the ______ percentage range.</w:t>
      </w:r>
      <w:r>
        <w:t xml:space="preserve"> </w:t>
      </w:r>
      <w:proofErr w:type="gramStart"/>
      <w:r w:rsidR="00111682">
        <w:rPr>
          <w:spacing w:val="-2"/>
        </w:rPr>
        <w:t>(</w:t>
      </w:r>
      <w:r w:rsidR="00111682">
        <w:t xml:space="preserve"> Please</w:t>
      </w:r>
      <w:proofErr w:type="gramEnd"/>
      <w:r w:rsidR="00111682">
        <w:t xml:space="preserve"> refer to the scoring guidelines for Process Items.)</w:t>
      </w:r>
    </w:p>
    <w:p w:rsidR="005A484D" w:rsidRDefault="00842DF9" w:rsidP="005A484D">
      <w:pPr>
        <w:spacing w:before="216"/>
      </w:pPr>
      <w:r>
        <w:t>STRENGTHS</w:t>
      </w:r>
    </w:p>
    <w:p w:rsidR="00842DF9" w:rsidRDefault="00842DF9" w:rsidP="005A484D">
      <w:pPr>
        <w:spacing w:before="216"/>
      </w:pPr>
      <w:r>
        <w:t>OPPORTUNITIES FOR IMPROVEMENT</w:t>
      </w:r>
    </w:p>
    <w:p w:rsidR="005A484D" w:rsidRDefault="004620F0" w:rsidP="005A484D">
      <w:pPr>
        <w:spacing w:before="216"/>
      </w:pPr>
      <w:r>
        <w:t>.</w:t>
      </w:r>
    </w:p>
    <w:p w:rsidR="00842DF9" w:rsidRDefault="00842DF9" w:rsidP="00842DF9">
      <w:pPr>
        <w:spacing w:before="216"/>
      </w:pPr>
    </w:p>
    <w:p w:rsidR="00AF35F0" w:rsidRDefault="00AF35F0">
      <w:pPr>
        <w:widowControl/>
        <w:autoSpaceDE/>
        <w:autoSpaceDN/>
        <w:rPr>
          <w:b/>
          <w:bCs/>
        </w:rPr>
      </w:pPr>
      <w:r>
        <w:rPr>
          <w:b/>
          <w:bCs/>
        </w:rPr>
        <w:br w:type="page"/>
      </w:r>
    </w:p>
    <w:p w:rsidR="00842DF9" w:rsidRDefault="00DF0A47" w:rsidP="00842DF9">
      <w:pPr>
        <w:ind w:firstLine="90"/>
        <w:rPr>
          <w:b/>
          <w:bCs/>
        </w:rPr>
      </w:pPr>
      <w:r>
        <w:rPr>
          <w:b/>
          <w:bCs/>
        </w:rPr>
        <w:lastRenderedPageBreak/>
        <w:t>Category 2 Strategy</w:t>
      </w:r>
      <w:r w:rsidR="00842DF9">
        <w:rPr>
          <w:b/>
          <w:bCs/>
        </w:rPr>
        <w:t xml:space="preserve"> </w:t>
      </w:r>
    </w:p>
    <w:p w:rsidR="00842DF9" w:rsidRDefault="00842DF9" w:rsidP="00842DF9">
      <w:pPr>
        <w:ind w:firstLine="90"/>
        <w:rPr>
          <w:b/>
          <w:bCs/>
        </w:rPr>
      </w:pPr>
    </w:p>
    <w:p w:rsidR="00842DF9" w:rsidRDefault="00842DF9" w:rsidP="00842DF9">
      <w:pPr>
        <w:ind w:firstLine="90"/>
      </w:pPr>
      <w:r>
        <w:rPr>
          <w:b/>
          <w:bCs/>
        </w:rPr>
        <w:t>2.1 Strategy Development</w:t>
      </w:r>
    </w:p>
    <w:p w:rsidR="005A484D" w:rsidRDefault="00842DF9" w:rsidP="005A484D">
      <w:pPr>
        <w:spacing w:before="180"/>
        <w:ind w:right="432"/>
      </w:pPr>
      <w:r>
        <w:t xml:space="preserve">Your score in this Criteria Item for the consensus stage is in the _____ percentage range. </w:t>
      </w:r>
      <w:proofErr w:type="gramStart"/>
      <w:r w:rsidR="004414E3">
        <w:rPr>
          <w:spacing w:val="-2"/>
        </w:rPr>
        <w:t>(</w:t>
      </w:r>
      <w:r w:rsidR="004414E3">
        <w:t xml:space="preserve"> Please</w:t>
      </w:r>
      <w:proofErr w:type="gramEnd"/>
      <w:r w:rsidR="004414E3">
        <w:t xml:space="preserve"> refer to the scoring guidelines for Process Items.)</w:t>
      </w:r>
    </w:p>
    <w:p w:rsidR="00842DF9" w:rsidRDefault="00842DF9" w:rsidP="005A484D">
      <w:pPr>
        <w:spacing w:before="180"/>
        <w:ind w:right="432"/>
      </w:pPr>
      <w:r>
        <w:t>STRENGTHS</w:t>
      </w:r>
    </w:p>
    <w:p w:rsidR="004620F0" w:rsidRDefault="004620F0" w:rsidP="005A484D">
      <w:pPr>
        <w:spacing w:before="180"/>
        <w:ind w:right="432"/>
      </w:pPr>
    </w:p>
    <w:p w:rsidR="00842DF9" w:rsidRDefault="00842DF9" w:rsidP="00842DF9">
      <w:r>
        <w:t>OPPORTUNITIES FOR IMPROVEMENT</w:t>
      </w:r>
    </w:p>
    <w:p w:rsidR="00AF35F0" w:rsidRDefault="00AF35F0">
      <w:pPr>
        <w:widowControl/>
        <w:autoSpaceDE/>
        <w:autoSpaceDN/>
        <w:rPr>
          <w:b/>
          <w:bCs/>
        </w:rPr>
      </w:pPr>
      <w:r>
        <w:rPr>
          <w:b/>
          <w:bCs/>
        </w:rPr>
        <w:br w:type="page"/>
      </w:r>
    </w:p>
    <w:p w:rsidR="00842DF9" w:rsidRDefault="00B806C5" w:rsidP="00842DF9">
      <w:pPr>
        <w:spacing w:before="684" w:line="504" w:lineRule="atLeast"/>
        <w:rPr>
          <w:b/>
          <w:bCs/>
        </w:rPr>
      </w:pPr>
      <w:r>
        <w:rPr>
          <w:b/>
          <w:bCs/>
        </w:rPr>
        <w:lastRenderedPageBreak/>
        <w:t>2.2 Strategy Implementation</w:t>
      </w:r>
    </w:p>
    <w:p w:rsidR="00842DF9" w:rsidRDefault="00842DF9" w:rsidP="00842DF9">
      <w:pPr>
        <w:spacing w:before="180"/>
        <w:ind w:right="504"/>
      </w:pPr>
      <w:r>
        <w:rPr>
          <w:spacing w:val="-2"/>
        </w:rPr>
        <w:t>Your score in this Criteria Item for the consensus stage is in the ______ percentage range.</w:t>
      </w:r>
      <w:r>
        <w:t xml:space="preserve"> </w:t>
      </w:r>
      <w:proofErr w:type="gramStart"/>
      <w:r w:rsidR="004414E3">
        <w:rPr>
          <w:spacing w:val="-2"/>
        </w:rPr>
        <w:t>(</w:t>
      </w:r>
      <w:r w:rsidR="004414E3">
        <w:t xml:space="preserve"> Please</w:t>
      </w:r>
      <w:proofErr w:type="gramEnd"/>
      <w:r w:rsidR="004414E3">
        <w:t xml:space="preserve"> refer to the scoring guidelines for Process Items.)</w:t>
      </w:r>
    </w:p>
    <w:p w:rsidR="00842DF9" w:rsidRDefault="00842DF9" w:rsidP="00842DF9">
      <w:pPr>
        <w:spacing w:before="216"/>
      </w:pPr>
      <w:r>
        <w:t>STRENGTHS</w:t>
      </w:r>
    </w:p>
    <w:p w:rsidR="003900B9" w:rsidRDefault="003900B9" w:rsidP="00842DF9">
      <w:pPr>
        <w:spacing w:before="216"/>
      </w:pPr>
    </w:p>
    <w:p w:rsidR="00842DF9" w:rsidRDefault="00842DF9" w:rsidP="00842DF9">
      <w:r>
        <w:t>OPPORTUNITIES FOR IMPROVEMENT</w:t>
      </w:r>
    </w:p>
    <w:p w:rsidR="00AF35F0" w:rsidRDefault="00AF35F0">
      <w:pPr>
        <w:widowControl/>
        <w:autoSpaceDE/>
        <w:autoSpaceDN/>
        <w:rPr>
          <w:b/>
          <w:bCs/>
          <w:spacing w:val="-2"/>
        </w:rPr>
      </w:pPr>
      <w:r>
        <w:rPr>
          <w:b/>
          <w:bCs/>
          <w:spacing w:val="-2"/>
        </w:rPr>
        <w:br w:type="page"/>
      </w:r>
    </w:p>
    <w:p w:rsidR="00AF35F0" w:rsidRDefault="000948B8" w:rsidP="00842DF9">
      <w:pPr>
        <w:spacing w:before="684" w:line="516" w:lineRule="atLeast"/>
        <w:ind w:right="4896"/>
        <w:rPr>
          <w:b/>
          <w:bCs/>
          <w:spacing w:val="-2"/>
        </w:rPr>
      </w:pPr>
      <w:r>
        <w:rPr>
          <w:b/>
          <w:bCs/>
          <w:spacing w:val="-2"/>
        </w:rPr>
        <w:lastRenderedPageBreak/>
        <w:t>Category 3 Customers</w:t>
      </w:r>
    </w:p>
    <w:p w:rsidR="00842DF9" w:rsidRDefault="00842DF9" w:rsidP="00AF35F0">
      <w:pPr>
        <w:spacing w:before="240" w:line="516" w:lineRule="atLeast"/>
        <w:ind w:right="4896"/>
        <w:rPr>
          <w:b/>
          <w:bCs/>
        </w:rPr>
      </w:pPr>
      <w:r>
        <w:rPr>
          <w:b/>
          <w:bCs/>
          <w:spacing w:val="-2"/>
        </w:rPr>
        <w:t xml:space="preserve"> </w:t>
      </w:r>
      <w:r w:rsidR="00D378C6">
        <w:rPr>
          <w:b/>
          <w:bCs/>
        </w:rPr>
        <w:t>3.1 Voice of the Customer</w:t>
      </w:r>
    </w:p>
    <w:p w:rsidR="00842DF9" w:rsidRDefault="00842DF9" w:rsidP="00842DF9">
      <w:pPr>
        <w:spacing w:before="180"/>
        <w:ind w:right="504"/>
      </w:pPr>
      <w:r>
        <w:rPr>
          <w:spacing w:val="-2"/>
        </w:rPr>
        <w:t>Your score in this Criteria Item for the consensus stage is in the     percentage range.</w:t>
      </w:r>
      <w:r>
        <w:t xml:space="preserve"> </w:t>
      </w:r>
      <w:r w:rsidR="004414E3">
        <w:t xml:space="preserve"> (Please refer to the scoring guidelines for Process Items.)</w:t>
      </w:r>
    </w:p>
    <w:p w:rsidR="00842DF9" w:rsidRDefault="00842DF9" w:rsidP="00842DF9">
      <w:pPr>
        <w:spacing w:line="504" w:lineRule="atLeast"/>
      </w:pPr>
      <w:r>
        <w:t>STRENGTHS</w:t>
      </w:r>
    </w:p>
    <w:p w:rsidR="00EA3C23" w:rsidRDefault="00EA3C23" w:rsidP="00EA3C23"/>
    <w:p w:rsidR="00842DF9" w:rsidRDefault="00842DF9" w:rsidP="00842DF9">
      <w:r>
        <w:t>OPPORTUNITIES FOR IMPROVEMENT</w:t>
      </w:r>
    </w:p>
    <w:p w:rsidR="005A484D" w:rsidRDefault="005A484D" w:rsidP="00842DF9"/>
    <w:p w:rsidR="00842DF9" w:rsidRDefault="00842DF9" w:rsidP="00842DF9">
      <w:pPr>
        <w:spacing w:line="504" w:lineRule="atLeast"/>
      </w:pPr>
    </w:p>
    <w:p w:rsidR="00842DF9" w:rsidRDefault="00842DF9" w:rsidP="00842DF9">
      <w:pPr>
        <w:spacing w:line="504" w:lineRule="atLeast"/>
      </w:pPr>
    </w:p>
    <w:p w:rsidR="00AF35F0" w:rsidRDefault="00AF35F0">
      <w:pPr>
        <w:widowControl/>
        <w:autoSpaceDE/>
        <w:autoSpaceDN/>
        <w:rPr>
          <w:b/>
          <w:bCs/>
        </w:rPr>
      </w:pPr>
      <w:r>
        <w:rPr>
          <w:b/>
          <w:bCs/>
        </w:rPr>
        <w:br w:type="page"/>
      </w:r>
    </w:p>
    <w:p w:rsidR="00842DF9" w:rsidRDefault="00D378C6" w:rsidP="00842DF9">
      <w:pPr>
        <w:spacing w:line="504" w:lineRule="atLeast"/>
        <w:rPr>
          <w:b/>
          <w:bCs/>
        </w:rPr>
      </w:pPr>
      <w:r>
        <w:rPr>
          <w:b/>
          <w:bCs/>
        </w:rPr>
        <w:lastRenderedPageBreak/>
        <w:t>3.2 Customer Engagement</w:t>
      </w:r>
    </w:p>
    <w:p w:rsidR="00842DF9" w:rsidRDefault="00842DF9" w:rsidP="00842DF9">
      <w:pPr>
        <w:spacing w:before="180"/>
        <w:ind w:right="504"/>
      </w:pPr>
      <w:r>
        <w:t xml:space="preserve">Your score in this Criteria Item for the consensus stage is in the     percentage range. </w:t>
      </w:r>
      <w:proofErr w:type="gramStart"/>
      <w:r w:rsidR="004414E3">
        <w:rPr>
          <w:spacing w:val="-2"/>
        </w:rPr>
        <w:t>(</w:t>
      </w:r>
      <w:r w:rsidR="004414E3">
        <w:t xml:space="preserve"> Please</w:t>
      </w:r>
      <w:proofErr w:type="gramEnd"/>
      <w:r w:rsidR="004414E3">
        <w:t xml:space="preserve"> refer to the scoring guidelines for Process Items.)</w:t>
      </w:r>
    </w:p>
    <w:p w:rsidR="00842DF9" w:rsidRDefault="00842DF9" w:rsidP="00842DF9">
      <w:pPr>
        <w:spacing w:before="684" w:line="516" w:lineRule="atLeast"/>
      </w:pPr>
      <w:r>
        <w:t>STRENGTHS</w:t>
      </w:r>
    </w:p>
    <w:p w:rsidR="005A484D" w:rsidRDefault="005A484D" w:rsidP="00842DF9">
      <w:pPr>
        <w:spacing w:before="684" w:line="516" w:lineRule="atLeast"/>
      </w:pPr>
    </w:p>
    <w:p w:rsidR="00842DF9" w:rsidRDefault="00842DF9" w:rsidP="00842DF9">
      <w:r>
        <w:t>OPPORTUNITIES FOR IMPROVEMENT</w:t>
      </w:r>
    </w:p>
    <w:p w:rsidR="00AA70AC" w:rsidRDefault="00AA70AC" w:rsidP="00842DF9"/>
    <w:p w:rsidR="00842DF9" w:rsidRDefault="00842DF9" w:rsidP="00842DF9">
      <w:pPr>
        <w:spacing w:before="684" w:line="516" w:lineRule="atLeast"/>
      </w:pPr>
    </w:p>
    <w:p w:rsidR="004414E3" w:rsidRDefault="004414E3" w:rsidP="00842DF9">
      <w:pPr>
        <w:spacing w:before="684" w:line="516" w:lineRule="atLeast"/>
        <w:rPr>
          <w:b/>
          <w:bCs/>
        </w:rPr>
      </w:pPr>
    </w:p>
    <w:p w:rsidR="00AF35F0" w:rsidRDefault="00AF35F0">
      <w:pPr>
        <w:widowControl/>
        <w:autoSpaceDE/>
        <w:autoSpaceDN/>
        <w:rPr>
          <w:b/>
          <w:bCs/>
        </w:rPr>
      </w:pPr>
      <w:r>
        <w:rPr>
          <w:b/>
          <w:bCs/>
        </w:rPr>
        <w:br w:type="page"/>
      </w:r>
    </w:p>
    <w:p w:rsidR="005A484D" w:rsidRDefault="004414E3" w:rsidP="00842DF9">
      <w:pPr>
        <w:spacing w:before="684" w:line="516" w:lineRule="atLeast"/>
        <w:rPr>
          <w:b/>
          <w:bCs/>
        </w:rPr>
      </w:pPr>
      <w:r>
        <w:rPr>
          <w:b/>
          <w:bCs/>
        </w:rPr>
        <w:lastRenderedPageBreak/>
        <w:t>C</w:t>
      </w:r>
      <w:r w:rsidR="00842DF9">
        <w:rPr>
          <w:b/>
          <w:bCs/>
        </w:rPr>
        <w:t>ategory 4 Measurement, Analysis, and Knowledge Management</w:t>
      </w:r>
    </w:p>
    <w:p w:rsidR="00842DF9" w:rsidRDefault="00842DF9" w:rsidP="00842DF9">
      <w:pPr>
        <w:spacing w:before="180"/>
        <w:rPr>
          <w:b/>
          <w:bCs/>
        </w:rPr>
      </w:pPr>
      <w:r>
        <w:rPr>
          <w:b/>
          <w:bCs/>
        </w:rPr>
        <w:t>4.1 M</w:t>
      </w:r>
      <w:r w:rsidR="00EC4286">
        <w:rPr>
          <w:b/>
          <w:bCs/>
        </w:rPr>
        <w:t>easurement, Analysis, and Improvement</w:t>
      </w:r>
      <w:r>
        <w:rPr>
          <w:b/>
          <w:bCs/>
        </w:rPr>
        <w:t xml:space="preserve"> of Organizational Performance</w:t>
      </w:r>
    </w:p>
    <w:p w:rsidR="00842DF9" w:rsidRDefault="00842DF9" w:rsidP="00842DF9">
      <w:pPr>
        <w:pStyle w:val="Style1"/>
        <w:adjustRightInd/>
        <w:rPr>
          <w:sz w:val="24"/>
        </w:rPr>
      </w:pPr>
    </w:p>
    <w:p w:rsidR="00842DF9" w:rsidRDefault="00842DF9" w:rsidP="00842DF9">
      <w:pPr>
        <w:ind w:right="504"/>
      </w:pPr>
      <w:r>
        <w:rPr>
          <w:spacing w:val="-2"/>
        </w:rPr>
        <w:t>Your score in this Criteria Item for the consensus stage is in the    percentage range.</w:t>
      </w:r>
      <w:r>
        <w:t xml:space="preserve"> </w:t>
      </w:r>
      <w:r w:rsidR="007F2272">
        <w:rPr>
          <w:spacing w:val="-2"/>
        </w:rPr>
        <w:t>(</w:t>
      </w:r>
      <w:r w:rsidR="007F2272">
        <w:t>(Please refer to the scoring guidelines for Process Items.)</w:t>
      </w:r>
    </w:p>
    <w:p w:rsidR="00842DF9" w:rsidRDefault="00842DF9" w:rsidP="00842DF9">
      <w:pPr>
        <w:spacing w:before="684" w:line="504" w:lineRule="atLeast"/>
      </w:pPr>
      <w:r>
        <w:t>STRENGTHS</w:t>
      </w:r>
    </w:p>
    <w:p w:rsidR="00AA70AC" w:rsidRDefault="00AA70AC" w:rsidP="00AA70AC">
      <w:pPr>
        <w:spacing w:before="120"/>
      </w:pPr>
    </w:p>
    <w:p w:rsidR="00842DF9" w:rsidRDefault="00842DF9" w:rsidP="00842DF9">
      <w:r>
        <w:t>OPPORTUNITIES FOR IMPROVEMENT</w:t>
      </w:r>
    </w:p>
    <w:p w:rsidR="00AF35F0" w:rsidRDefault="00AF35F0">
      <w:pPr>
        <w:widowControl/>
        <w:autoSpaceDE/>
        <w:autoSpaceDN/>
        <w:rPr>
          <w:b/>
          <w:bCs/>
        </w:rPr>
      </w:pPr>
      <w:r>
        <w:rPr>
          <w:b/>
          <w:bCs/>
        </w:rPr>
        <w:br w:type="page"/>
      </w:r>
    </w:p>
    <w:p w:rsidR="00842DF9" w:rsidRDefault="00EC4286" w:rsidP="00842DF9">
      <w:pPr>
        <w:spacing w:before="684" w:line="504" w:lineRule="atLeast"/>
        <w:rPr>
          <w:b/>
          <w:bCs/>
        </w:rPr>
      </w:pPr>
      <w:proofErr w:type="gramStart"/>
      <w:r>
        <w:rPr>
          <w:b/>
          <w:bCs/>
        </w:rPr>
        <w:lastRenderedPageBreak/>
        <w:t xml:space="preserve">4.2 </w:t>
      </w:r>
      <w:r w:rsidR="00842DF9">
        <w:rPr>
          <w:b/>
          <w:bCs/>
        </w:rPr>
        <w:t xml:space="preserve"> </w:t>
      </w:r>
      <w:r w:rsidR="00396D51">
        <w:rPr>
          <w:b/>
          <w:bCs/>
        </w:rPr>
        <w:t>Information</w:t>
      </w:r>
      <w:proofErr w:type="gramEnd"/>
      <w:r w:rsidR="00396D51">
        <w:rPr>
          <w:b/>
          <w:bCs/>
        </w:rPr>
        <w:t>,  and  Knowledge Management</w:t>
      </w:r>
    </w:p>
    <w:p w:rsidR="00842DF9" w:rsidRDefault="00842DF9" w:rsidP="00842DF9">
      <w:pPr>
        <w:spacing w:before="180"/>
        <w:ind w:right="504"/>
      </w:pPr>
      <w:r>
        <w:rPr>
          <w:spacing w:val="-2"/>
        </w:rPr>
        <w:t>Your score in this Criteria Item for the consensus stage is in the     percentage range.</w:t>
      </w:r>
      <w:r>
        <w:t xml:space="preserve"> </w:t>
      </w:r>
      <w:r w:rsidR="00183C31">
        <w:rPr>
          <w:spacing w:val="-2"/>
        </w:rPr>
        <w:t>(</w:t>
      </w:r>
      <w:r w:rsidR="00183C31">
        <w:t>Please refer to the scoring guidelines for Process Items.)</w:t>
      </w:r>
    </w:p>
    <w:p w:rsidR="005A484D" w:rsidRDefault="00842DF9" w:rsidP="005A484D">
      <w:pPr>
        <w:spacing w:before="216"/>
      </w:pPr>
      <w:r>
        <w:t>STRENGTHS</w:t>
      </w:r>
    </w:p>
    <w:p w:rsidR="00AF35F0" w:rsidRDefault="00AF35F0" w:rsidP="005A484D">
      <w:pPr>
        <w:spacing w:before="216"/>
      </w:pPr>
    </w:p>
    <w:p w:rsidR="00842DF9" w:rsidRDefault="00842DF9" w:rsidP="005A484D">
      <w:pPr>
        <w:spacing w:before="216"/>
      </w:pPr>
      <w:r>
        <w:t>OPPORTUNITIES FOR IMPROVEMENT</w:t>
      </w:r>
    </w:p>
    <w:p w:rsidR="00183C31" w:rsidRDefault="00183C31" w:rsidP="00842DF9">
      <w:pPr>
        <w:spacing w:line="516" w:lineRule="atLeast"/>
        <w:ind w:right="5256"/>
        <w:rPr>
          <w:b/>
          <w:bCs/>
        </w:rPr>
      </w:pPr>
    </w:p>
    <w:p w:rsidR="00183C31" w:rsidRDefault="00183C31" w:rsidP="00842DF9">
      <w:pPr>
        <w:spacing w:line="516" w:lineRule="atLeast"/>
        <w:ind w:right="5256"/>
        <w:rPr>
          <w:b/>
          <w:bCs/>
        </w:rPr>
      </w:pPr>
    </w:p>
    <w:p w:rsidR="00183C31" w:rsidRDefault="00183C31" w:rsidP="00842DF9">
      <w:pPr>
        <w:spacing w:line="516" w:lineRule="atLeast"/>
        <w:ind w:right="5256"/>
        <w:rPr>
          <w:b/>
          <w:bCs/>
        </w:rPr>
      </w:pPr>
    </w:p>
    <w:p w:rsidR="00183C31" w:rsidRDefault="00183C31" w:rsidP="00842DF9">
      <w:pPr>
        <w:spacing w:line="516" w:lineRule="atLeast"/>
        <w:ind w:right="5256"/>
        <w:rPr>
          <w:b/>
          <w:bCs/>
        </w:rPr>
      </w:pPr>
    </w:p>
    <w:p w:rsidR="00183C31" w:rsidRDefault="00183C31" w:rsidP="00842DF9">
      <w:pPr>
        <w:spacing w:line="516" w:lineRule="atLeast"/>
        <w:ind w:right="5256"/>
        <w:rPr>
          <w:b/>
          <w:bCs/>
        </w:rPr>
      </w:pPr>
    </w:p>
    <w:p w:rsidR="00AF35F0" w:rsidRDefault="00AF35F0">
      <w:pPr>
        <w:widowControl/>
        <w:autoSpaceDE/>
        <w:autoSpaceDN/>
        <w:rPr>
          <w:b/>
          <w:bCs/>
        </w:rPr>
      </w:pPr>
      <w:r>
        <w:rPr>
          <w:b/>
          <w:bCs/>
        </w:rPr>
        <w:br w:type="page"/>
      </w:r>
    </w:p>
    <w:p w:rsidR="00EC4286" w:rsidRDefault="00B56B11" w:rsidP="00842DF9">
      <w:pPr>
        <w:spacing w:line="516" w:lineRule="atLeast"/>
        <w:ind w:right="5256"/>
        <w:rPr>
          <w:b/>
          <w:bCs/>
        </w:rPr>
      </w:pPr>
      <w:r>
        <w:rPr>
          <w:b/>
          <w:bCs/>
        </w:rPr>
        <w:lastRenderedPageBreak/>
        <w:t xml:space="preserve">Category 5 Workforce </w:t>
      </w:r>
    </w:p>
    <w:p w:rsidR="00842DF9" w:rsidRDefault="00A615AB" w:rsidP="00842DF9">
      <w:pPr>
        <w:spacing w:line="516" w:lineRule="atLeast"/>
        <w:ind w:right="5256"/>
        <w:rPr>
          <w:b/>
          <w:bCs/>
        </w:rPr>
      </w:pPr>
      <w:r>
        <w:rPr>
          <w:b/>
          <w:bCs/>
        </w:rPr>
        <w:t>5.1 Workforce Environment</w:t>
      </w:r>
    </w:p>
    <w:p w:rsidR="00842DF9" w:rsidRDefault="00842DF9" w:rsidP="00842DF9">
      <w:pPr>
        <w:spacing w:before="180"/>
        <w:ind w:right="432"/>
      </w:pPr>
      <w:r>
        <w:t xml:space="preserve">Your score in this Criteria Item for the consensus stage is in the     percentage range. </w:t>
      </w:r>
      <w:proofErr w:type="gramStart"/>
      <w:r w:rsidR="00183C31">
        <w:rPr>
          <w:spacing w:val="-2"/>
        </w:rPr>
        <w:t>(</w:t>
      </w:r>
      <w:r w:rsidR="00183C31">
        <w:t xml:space="preserve"> Please</w:t>
      </w:r>
      <w:proofErr w:type="gramEnd"/>
      <w:r w:rsidR="00183C31">
        <w:t xml:space="preserve"> refer to the scoring guidelines for Process Items.)</w:t>
      </w:r>
    </w:p>
    <w:p w:rsidR="00842DF9" w:rsidRDefault="00842DF9" w:rsidP="00842DF9">
      <w:pPr>
        <w:spacing w:before="216"/>
      </w:pPr>
      <w:r>
        <w:t>STRENGTHS</w:t>
      </w:r>
    </w:p>
    <w:p w:rsidR="00842DF9" w:rsidRDefault="00842DF9" w:rsidP="00842DF9">
      <w:pPr>
        <w:spacing w:before="216"/>
      </w:pPr>
    </w:p>
    <w:p w:rsidR="00842DF9" w:rsidRDefault="00842DF9" w:rsidP="00842DF9">
      <w:r>
        <w:t>OPPORTUNITIES FOR IMPROVEMENT</w:t>
      </w:r>
    </w:p>
    <w:p w:rsidR="00842DF9" w:rsidRDefault="00842DF9" w:rsidP="00842DF9">
      <w:pPr>
        <w:spacing w:before="216"/>
      </w:pPr>
    </w:p>
    <w:p w:rsidR="00AF35F0" w:rsidRDefault="00AF35F0">
      <w:pPr>
        <w:widowControl/>
        <w:autoSpaceDE/>
        <w:autoSpaceDN/>
        <w:rPr>
          <w:b/>
          <w:bCs/>
        </w:rPr>
      </w:pPr>
      <w:r>
        <w:rPr>
          <w:b/>
          <w:bCs/>
        </w:rPr>
        <w:br w:type="page"/>
      </w:r>
    </w:p>
    <w:p w:rsidR="00842DF9" w:rsidRDefault="00842DF9" w:rsidP="00842DF9">
      <w:pPr>
        <w:ind w:left="360" w:hanging="360"/>
        <w:rPr>
          <w:b/>
          <w:bCs/>
        </w:rPr>
      </w:pPr>
      <w:r>
        <w:rPr>
          <w:b/>
          <w:bCs/>
        </w:rPr>
        <w:lastRenderedPageBreak/>
        <w:t xml:space="preserve">5.2 </w:t>
      </w:r>
      <w:r w:rsidR="00A615AB">
        <w:rPr>
          <w:b/>
          <w:bCs/>
        </w:rPr>
        <w:t>Workforce Engagement</w:t>
      </w:r>
    </w:p>
    <w:p w:rsidR="005A484D" w:rsidRDefault="00842DF9" w:rsidP="00842DF9">
      <w:pPr>
        <w:spacing w:before="180"/>
        <w:ind w:right="504"/>
        <w:rPr>
          <w:spacing w:val="-2"/>
        </w:rPr>
      </w:pPr>
      <w:r>
        <w:rPr>
          <w:spacing w:val="-2"/>
        </w:rPr>
        <w:t>Your score in this Criteria Item for the consensus stage is in the     percentage range.</w:t>
      </w:r>
      <w:r w:rsidR="00016573" w:rsidRPr="00016573">
        <w:rPr>
          <w:spacing w:val="-2"/>
        </w:rPr>
        <w:t xml:space="preserve"> </w:t>
      </w:r>
      <w:proofErr w:type="gramStart"/>
      <w:r w:rsidR="00016573">
        <w:rPr>
          <w:spacing w:val="-2"/>
        </w:rPr>
        <w:t>(</w:t>
      </w:r>
      <w:r w:rsidR="00016573">
        <w:t xml:space="preserve"> Please</w:t>
      </w:r>
      <w:proofErr w:type="gramEnd"/>
      <w:r w:rsidR="00016573">
        <w:t xml:space="preserve"> refer to the scoring guidelines for Process Items.)</w:t>
      </w:r>
    </w:p>
    <w:p w:rsidR="00842DF9" w:rsidRDefault="00842DF9" w:rsidP="00842DF9">
      <w:pPr>
        <w:spacing w:before="180"/>
        <w:ind w:right="504"/>
      </w:pPr>
      <w:r>
        <w:t xml:space="preserve"> </w:t>
      </w:r>
    </w:p>
    <w:p w:rsidR="00842DF9" w:rsidRDefault="00842DF9" w:rsidP="00842DF9">
      <w:pPr>
        <w:ind w:right="72"/>
      </w:pPr>
      <w:r>
        <w:t>STRENGTHS</w:t>
      </w:r>
    </w:p>
    <w:p w:rsidR="00AF35F0" w:rsidRDefault="00AF35F0" w:rsidP="00842DF9">
      <w:pPr>
        <w:ind w:right="72"/>
      </w:pPr>
    </w:p>
    <w:p w:rsidR="005A484D" w:rsidRDefault="005A484D" w:rsidP="00842DF9">
      <w:pPr>
        <w:ind w:right="72"/>
      </w:pPr>
    </w:p>
    <w:p w:rsidR="00842DF9" w:rsidRDefault="00842DF9" w:rsidP="00842DF9">
      <w:r>
        <w:t>OPPORTUNITIES FOR IMPROVEMENT</w:t>
      </w:r>
    </w:p>
    <w:p w:rsidR="00842DF9" w:rsidRDefault="00842DF9" w:rsidP="00842DF9">
      <w:pPr>
        <w:ind w:right="72"/>
      </w:pPr>
    </w:p>
    <w:p w:rsidR="00842DF9" w:rsidRDefault="00842DF9" w:rsidP="00842DF9">
      <w:pPr>
        <w:ind w:right="72"/>
      </w:pPr>
    </w:p>
    <w:p w:rsidR="00842DF9" w:rsidRDefault="00842DF9" w:rsidP="00842DF9">
      <w:pPr>
        <w:spacing w:before="216"/>
      </w:pPr>
    </w:p>
    <w:p w:rsidR="00AF35F0" w:rsidRDefault="00AF35F0">
      <w:pPr>
        <w:widowControl/>
        <w:autoSpaceDE/>
        <w:autoSpaceDN/>
        <w:rPr>
          <w:b/>
          <w:bCs/>
        </w:rPr>
      </w:pPr>
      <w:r>
        <w:rPr>
          <w:b/>
          <w:bCs/>
        </w:rPr>
        <w:br w:type="page"/>
      </w:r>
    </w:p>
    <w:p w:rsidR="00842DF9" w:rsidRDefault="00B56B11" w:rsidP="00842DF9">
      <w:pPr>
        <w:ind w:left="360" w:hanging="360"/>
        <w:rPr>
          <w:b/>
          <w:bCs/>
        </w:rPr>
      </w:pPr>
      <w:r>
        <w:rPr>
          <w:b/>
          <w:bCs/>
        </w:rPr>
        <w:lastRenderedPageBreak/>
        <w:t xml:space="preserve">Category 6 Operations </w:t>
      </w:r>
    </w:p>
    <w:p w:rsidR="00A615AB" w:rsidRDefault="00A615AB" w:rsidP="00842DF9">
      <w:pPr>
        <w:ind w:left="360" w:hanging="360"/>
        <w:rPr>
          <w:b/>
          <w:bCs/>
        </w:rPr>
      </w:pPr>
    </w:p>
    <w:p w:rsidR="00842DF9" w:rsidRDefault="00B56B11" w:rsidP="00842DF9">
      <w:pPr>
        <w:ind w:left="360" w:hanging="360"/>
        <w:rPr>
          <w:b/>
          <w:bCs/>
        </w:rPr>
      </w:pPr>
      <w:r>
        <w:rPr>
          <w:b/>
          <w:bCs/>
        </w:rPr>
        <w:t>6.1 Work Processes</w:t>
      </w:r>
      <w:r w:rsidR="00A615AB">
        <w:rPr>
          <w:b/>
          <w:bCs/>
        </w:rPr>
        <w:t xml:space="preserve"> </w:t>
      </w:r>
    </w:p>
    <w:p w:rsidR="00842DF9" w:rsidRPr="00016573" w:rsidRDefault="00842DF9" w:rsidP="00842DF9">
      <w:pPr>
        <w:spacing w:before="180"/>
        <w:ind w:right="504"/>
        <w:rPr>
          <w:spacing w:val="-2"/>
        </w:rPr>
      </w:pPr>
      <w:r>
        <w:rPr>
          <w:spacing w:val="-2"/>
        </w:rPr>
        <w:t>Your score in this Criteria Item for the consensus stage is in the    percentage range.</w:t>
      </w:r>
      <w:r>
        <w:t xml:space="preserve"> </w:t>
      </w:r>
      <w:r w:rsidR="00016573">
        <w:rPr>
          <w:spacing w:val="-2"/>
        </w:rPr>
        <w:t>(</w:t>
      </w:r>
      <w:r w:rsidR="00016573">
        <w:t>Please refer to the scoring guidelines for Process Items.)</w:t>
      </w:r>
    </w:p>
    <w:p w:rsidR="00842DF9" w:rsidRDefault="00842DF9" w:rsidP="00842DF9">
      <w:pPr>
        <w:spacing w:before="216"/>
      </w:pPr>
      <w:r>
        <w:t>STRENGTHS</w:t>
      </w:r>
    </w:p>
    <w:p w:rsidR="00E21735" w:rsidRDefault="00E21735" w:rsidP="00842DF9">
      <w:pPr>
        <w:spacing w:before="216"/>
      </w:pPr>
    </w:p>
    <w:p w:rsidR="00842DF9" w:rsidRDefault="00842DF9" w:rsidP="00842DF9">
      <w:r>
        <w:t>OPPORTUNITIES FOR IMPROVEMENT</w:t>
      </w:r>
    </w:p>
    <w:p w:rsidR="00AF35F0" w:rsidRDefault="00AF35F0">
      <w:pPr>
        <w:widowControl/>
        <w:autoSpaceDE/>
        <w:autoSpaceDN/>
        <w:rPr>
          <w:b/>
          <w:bCs/>
        </w:rPr>
      </w:pPr>
      <w:r>
        <w:rPr>
          <w:b/>
          <w:bCs/>
        </w:rPr>
        <w:br w:type="page"/>
      </w:r>
    </w:p>
    <w:p w:rsidR="00842DF9" w:rsidRDefault="0051327A" w:rsidP="00842DF9">
      <w:pPr>
        <w:spacing w:before="684" w:line="504" w:lineRule="atLeast"/>
        <w:rPr>
          <w:b/>
          <w:bCs/>
        </w:rPr>
      </w:pPr>
      <w:r>
        <w:rPr>
          <w:b/>
          <w:bCs/>
        </w:rPr>
        <w:lastRenderedPageBreak/>
        <w:t>6.2 Operational Effectiveness</w:t>
      </w:r>
    </w:p>
    <w:p w:rsidR="00842DF9" w:rsidRDefault="00842DF9" w:rsidP="00842DF9">
      <w:pPr>
        <w:spacing w:before="180"/>
        <w:ind w:right="504"/>
      </w:pPr>
      <w:r>
        <w:rPr>
          <w:spacing w:val="-2"/>
        </w:rPr>
        <w:t>Your score in this Criteria Item for the consensus stage is in the    percentage range.</w:t>
      </w:r>
      <w:r>
        <w:t xml:space="preserve"> </w:t>
      </w:r>
      <w:r w:rsidR="00016573">
        <w:t xml:space="preserve"> (Please refer to the scoring guidelines for Process Items.)</w:t>
      </w:r>
    </w:p>
    <w:p w:rsidR="00842DF9" w:rsidRDefault="00842DF9" w:rsidP="00842DF9">
      <w:pPr>
        <w:spacing w:before="216"/>
      </w:pPr>
      <w:r>
        <w:t>STRENGTHS</w:t>
      </w:r>
    </w:p>
    <w:p w:rsidR="00E21735" w:rsidRDefault="00E21735" w:rsidP="00842DF9">
      <w:pPr>
        <w:spacing w:before="216"/>
      </w:pPr>
    </w:p>
    <w:p w:rsidR="00842DF9" w:rsidRDefault="00842DF9" w:rsidP="00842DF9">
      <w:r>
        <w:t>OPPORTUNITIES FOR IMPROVEMENT</w:t>
      </w:r>
    </w:p>
    <w:p w:rsidR="00E21735" w:rsidRDefault="00E21735" w:rsidP="00842DF9"/>
    <w:p w:rsidR="00E21735" w:rsidRDefault="00E21735" w:rsidP="00842DF9"/>
    <w:p w:rsidR="00E21735" w:rsidRDefault="00E21735" w:rsidP="00842DF9"/>
    <w:p w:rsidR="00842DF9" w:rsidRDefault="00842DF9" w:rsidP="00842DF9">
      <w:pPr>
        <w:spacing w:before="216"/>
      </w:pPr>
    </w:p>
    <w:p w:rsidR="00AF35F0" w:rsidRDefault="00AF35F0">
      <w:pPr>
        <w:widowControl/>
        <w:autoSpaceDE/>
        <w:autoSpaceDN/>
        <w:rPr>
          <w:b/>
          <w:bCs/>
        </w:rPr>
      </w:pPr>
      <w:r>
        <w:rPr>
          <w:b/>
          <w:bCs/>
        </w:rPr>
        <w:br w:type="page"/>
      </w:r>
    </w:p>
    <w:p w:rsidR="00842DF9" w:rsidRDefault="00EC4286" w:rsidP="00842DF9">
      <w:pPr>
        <w:rPr>
          <w:b/>
          <w:bCs/>
        </w:rPr>
      </w:pPr>
      <w:r>
        <w:rPr>
          <w:b/>
          <w:bCs/>
        </w:rPr>
        <w:lastRenderedPageBreak/>
        <w:t xml:space="preserve">Category </w:t>
      </w:r>
      <w:proofErr w:type="gramStart"/>
      <w:r>
        <w:rPr>
          <w:b/>
          <w:bCs/>
        </w:rPr>
        <w:t xml:space="preserve">7 </w:t>
      </w:r>
      <w:r w:rsidR="00A615AB">
        <w:rPr>
          <w:b/>
          <w:bCs/>
        </w:rPr>
        <w:t xml:space="preserve"> RESULTS</w:t>
      </w:r>
      <w:proofErr w:type="gramEnd"/>
    </w:p>
    <w:p w:rsidR="00842DF9" w:rsidRDefault="00842DF9" w:rsidP="00842DF9">
      <w:pPr>
        <w:pStyle w:val="Style1"/>
        <w:adjustRightInd/>
        <w:rPr>
          <w:sz w:val="24"/>
        </w:rPr>
      </w:pPr>
    </w:p>
    <w:p w:rsidR="00842DF9" w:rsidRDefault="00A615AB" w:rsidP="00842DF9">
      <w:pPr>
        <w:spacing w:line="516" w:lineRule="atLeast"/>
        <w:rPr>
          <w:bCs/>
          <w:i/>
        </w:rPr>
      </w:pPr>
      <w:r>
        <w:rPr>
          <w:b/>
          <w:bCs/>
        </w:rPr>
        <w:t xml:space="preserve">7.1 Product </w:t>
      </w:r>
      <w:r w:rsidR="00E21735">
        <w:rPr>
          <w:b/>
          <w:bCs/>
        </w:rPr>
        <w:t>and Process</w:t>
      </w:r>
      <w:r w:rsidR="005729E0">
        <w:rPr>
          <w:b/>
          <w:bCs/>
        </w:rPr>
        <w:t xml:space="preserve"> Results</w:t>
      </w:r>
      <w:r w:rsidR="00976942">
        <w:rPr>
          <w:b/>
          <w:bCs/>
        </w:rPr>
        <w:t xml:space="preserve"> (</w:t>
      </w:r>
      <w:r w:rsidR="00976942" w:rsidRPr="00976942">
        <w:rPr>
          <w:bCs/>
          <w:i/>
        </w:rPr>
        <w:t>Business)</w:t>
      </w:r>
      <w:r w:rsidR="00976942">
        <w:rPr>
          <w:bCs/>
          <w:i/>
        </w:rPr>
        <w:t xml:space="preserve"> or</w:t>
      </w:r>
    </w:p>
    <w:p w:rsidR="00976942" w:rsidRDefault="00976942" w:rsidP="00842DF9">
      <w:pPr>
        <w:spacing w:line="516" w:lineRule="atLeast"/>
        <w:rPr>
          <w:bCs/>
        </w:rPr>
      </w:pPr>
      <w:r w:rsidRPr="00976942">
        <w:rPr>
          <w:b/>
          <w:bCs/>
        </w:rPr>
        <w:t>7.1</w:t>
      </w:r>
      <w:r>
        <w:rPr>
          <w:bCs/>
        </w:rPr>
        <w:t xml:space="preserve"> </w:t>
      </w:r>
      <w:r w:rsidRPr="00976942">
        <w:rPr>
          <w:b/>
          <w:bCs/>
        </w:rPr>
        <w:t>Student Learning an</w:t>
      </w:r>
      <w:r w:rsidR="00D70E1D">
        <w:rPr>
          <w:b/>
          <w:bCs/>
        </w:rPr>
        <w:t>d</w:t>
      </w:r>
      <w:r w:rsidRPr="00976942">
        <w:rPr>
          <w:b/>
          <w:bCs/>
        </w:rPr>
        <w:t xml:space="preserve"> Process </w:t>
      </w:r>
      <w:r w:rsidR="005729E0">
        <w:rPr>
          <w:b/>
          <w:bCs/>
        </w:rPr>
        <w:t>Results</w:t>
      </w:r>
      <w:r>
        <w:rPr>
          <w:bCs/>
        </w:rPr>
        <w:t xml:space="preserve"> (</w:t>
      </w:r>
      <w:r w:rsidRPr="00976942">
        <w:rPr>
          <w:bCs/>
          <w:i/>
        </w:rPr>
        <w:t>Education</w:t>
      </w:r>
      <w:r>
        <w:rPr>
          <w:bCs/>
        </w:rPr>
        <w:t>) or</w:t>
      </w:r>
    </w:p>
    <w:p w:rsidR="00976942" w:rsidRPr="00976942" w:rsidRDefault="00976942" w:rsidP="00842DF9">
      <w:pPr>
        <w:spacing w:line="516" w:lineRule="atLeast"/>
        <w:rPr>
          <w:b/>
          <w:bCs/>
        </w:rPr>
      </w:pPr>
      <w:r w:rsidRPr="00976942">
        <w:rPr>
          <w:b/>
          <w:bCs/>
        </w:rPr>
        <w:t>7.1 Healthcare and Process Results</w:t>
      </w:r>
      <w:r>
        <w:rPr>
          <w:bCs/>
        </w:rPr>
        <w:t xml:space="preserve"> (</w:t>
      </w:r>
      <w:r w:rsidRPr="00976942">
        <w:rPr>
          <w:bCs/>
          <w:i/>
        </w:rPr>
        <w:t>Healthcare</w:t>
      </w:r>
      <w:r>
        <w:rPr>
          <w:bCs/>
        </w:rPr>
        <w:t>)</w:t>
      </w:r>
    </w:p>
    <w:p w:rsidR="00842DF9" w:rsidRDefault="00842DF9" w:rsidP="00842DF9">
      <w:pPr>
        <w:spacing w:before="180"/>
        <w:ind w:right="432"/>
      </w:pPr>
      <w:r>
        <w:t>Your score in this Criteria Item for the consensus stage is in the    percentage range.</w:t>
      </w:r>
      <w:r w:rsidR="00634434" w:rsidRPr="00634434">
        <w:rPr>
          <w:spacing w:val="-2"/>
        </w:rPr>
        <w:t xml:space="preserve"> </w:t>
      </w:r>
      <w:r w:rsidR="00634434">
        <w:t xml:space="preserve"> (Please refer to the scoring guidelines for Results Items.)</w:t>
      </w:r>
    </w:p>
    <w:p w:rsidR="00634434" w:rsidRDefault="00634434" w:rsidP="00842DF9">
      <w:pPr>
        <w:spacing w:before="180"/>
        <w:ind w:right="432"/>
      </w:pPr>
    </w:p>
    <w:p w:rsidR="00842DF9" w:rsidRDefault="00842DF9" w:rsidP="00842DF9">
      <w:pPr>
        <w:spacing w:before="180"/>
        <w:ind w:right="432"/>
      </w:pPr>
      <w:r>
        <w:t>STRENGTHS</w:t>
      </w:r>
    </w:p>
    <w:p w:rsidR="00E21735" w:rsidRDefault="00E21735" w:rsidP="00842DF9">
      <w:pPr>
        <w:spacing w:before="180"/>
        <w:ind w:right="432"/>
      </w:pPr>
    </w:p>
    <w:p w:rsidR="00842DF9" w:rsidRDefault="00842DF9" w:rsidP="00842DF9">
      <w:r>
        <w:t>OPPORTUNITIES FOR IMPROVEMENT</w:t>
      </w:r>
    </w:p>
    <w:p w:rsidR="00842DF9" w:rsidRDefault="00842DF9" w:rsidP="00842DF9">
      <w:pPr>
        <w:spacing w:before="180"/>
        <w:ind w:right="432"/>
      </w:pPr>
      <w:r>
        <w:t xml:space="preserve"> </w:t>
      </w:r>
    </w:p>
    <w:p w:rsidR="00842DF9" w:rsidRDefault="00842DF9" w:rsidP="00842DF9">
      <w:pPr>
        <w:spacing w:before="216"/>
      </w:pPr>
    </w:p>
    <w:p w:rsidR="00AF35F0" w:rsidRDefault="00AF35F0">
      <w:pPr>
        <w:widowControl/>
        <w:autoSpaceDE/>
        <w:autoSpaceDN/>
        <w:rPr>
          <w:b/>
          <w:bCs/>
        </w:rPr>
      </w:pPr>
      <w:r>
        <w:rPr>
          <w:b/>
          <w:bCs/>
        </w:rPr>
        <w:br w:type="page"/>
      </w:r>
    </w:p>
    <w:p w:rsidR="00842DF9" w:rsidRDefault="00F613C5" w:rsidP="00842DF9">
      <w:pPr>
        <w:ind w:left="360" w:right="360" w:hanging="360"/>
        <w:rPr>
          <w:b/>
          <w:bCs/>
        </w:rPr>
      </w:pPr>
      <w:r>
        <w:rPr>
          <w:b/>
          <w:bCs/>
        </w:rPr>
        <w:lastRenderedPageBreak/>
        <w:t xml:space="preserve">7.2 </w:t>
      </w:r>
      <w:proofErr w:type="gramStart"/>
      <w:r>
        <w:rPr>
          <w:b/>
          <w:bCs/>
        </w:rPr>
        <w:t xml:space="preserve">Customer </w:t>
      </w:r>
      <w:r w:rsidR="00F82110">
        <w:rPr>
          <w:b/>
          <w:bCs/>
        </w:rPr>
        <w:t xml:space="preserve"> Results</w:t>
      </w:r>
      <w:proofErr w:type="gramEnd"/>
    </w:p>
    <w:p w:rsidR="00842DF9" w:rsidRDefault="00842DF9" w:rsidP="00842DF9">
      <w:pPr>
        <w:spacing w:before="180"/>
        <w:ind w:right="432"/>
      </w:pPr>
      <w:r>
        <w:t xml:space="preserve">Your score in this Criteria Item for the consensus stage is in the       percentage range. </w:t>
      </w:r>
      <w:r w:rsidR="000F0762">
        <w:t>(Please refer to the scoring guidelines for Results Items.)</w:t>
      </w:r>
    </w:p>
    <w:p w:rsidR="00842DF9" w:rsidRDefault="00842DF9" w:rsidP="00842DF9">
      <w:pPr>
        <w:spacing w:before="180"/>
        <w:ind w:right="432"/>
      </w:pPr>
      <w:r>
        <w:t>STRENGTHS</w:t>
      </w:r>
    </w:p>
    <w:p w:rsidR="00E21735" w:rsidRDefault="00E21735" w:rsidP="00842DF9">
      <w:pPr>
        <w:spacing w:before="180"/>
        <w:ind w:right="432"/>
      </w:pPr>
    </w:p>
    <w:p w:rsidR="00842DF9" w:rsidRDefault="00842DF9" w:rsidP="00842DF9">
      <w:r>
        <w:t>OPPORTUNITIES FOR IMPROVEMENT</w:t>
      </w:r>
    </w:p>
    <w:p w:rsidR="00842DF9" w:rsidRDefault="00842DF9" w:rsidP="00842DF9">
      <w:pPr>
        <w:spacing w:before="180"/>
        <w:ind w:right="432"/>
      </w:pPr>
    </w:p>
    <w:p w:rsidR="00842DF9" w:rsidRDefault="00842DF9" w:rsidP="00842DF9">
      <w:pPr>
        <w:spacing w:before="180"/>
        <w:ind w:right="432"/>
      </w:pPr>
    </w:p>
    <w:p w:rsidR="00AF35F0" w:rsidRDefault="00AF35F0">
      <w:pPr>
        <w:widowControl/>
        <w:autoSpaceDE/>
        <w:autoSpaceDN/>
        <w:rPr>
          <w:b/>
          <w:bCs/>
        </w:rPr>
      </w:pPr>
      <w:r>
        <w:rPr>
          <w:b/>
          <w:bCs/>
        </w:rPr>
        <w:br w:type="page"/>
      </w:r>
    </w:p>
    <w:p w:rsidR="00A615AB" w:rsidRDefault="00842DF9" w:rsidP="00A615AB">
      <w:pPr>
        <w:spacing w:before="684" w:line="504" w:lineRule="atLeast"/>
        <w:rPr>
          <w:b/>
          <w:bCs/>
        </w:rPr>
      </w:pPr>
      <w:proofErr w:type="gramStart"/>
      <w:r>
        <w:rPr>
          <w:b/>
          <w:bCs/>
        </w:rPr>
        <w:lastRenderedPageBreak/>
        <w:t xml:space="preserve">7.3 </w:t>
      </w:r>
      <w:r w:rsidR="00F613C5">
        <w:rPr>
          <w:b/>
          <w:bCs/>
        </w:rPr>
        <w:t xml:space="preserve"> Workforce</w:t>
      </w:r>
      <w:proofErr w:type="gramEnd"/>
      <w:r w:rsidR="00F613C5">
        <w:rPr>
          <w:b/>
          <w:bCs/>
        </w:rPr>
        <w:t xml:space="preserve"> </w:t>
      </w:r>
      <w:r w:rsidR="00F82110">
        <w:rPr>
          <w:b/>
          <w:bCs/>
        </w:rPr>
        <w:t xml:space="preserve"> Results</w:t>
      </w:r>
    </w:p>
    <w:p w:rsidR="00842DF9" w:rsidRPr="00A615AB" w:rsidRDefault="00842DF9" w:rsidP="00A615AB">
      <w:pPr>
        <w:spacing w:before="684" w:line="504" w:lineRule="atLeast"/>
        <w:rPr>
          <w:b/>
          <w:bCs/>
        </w:rPr>
      </w:pPr>
      <w:r>
        <w:t xml:space="preserve">Your score in this Criteria Item for the consensus stage is in the      percentage range. </w:t>
      </w:r>
      <w:r w:rsidR="000F0762">
        <w:t>(Please refer to the scoring guidelines for Results Items.)</w:t>
      </w:r>
    </w:p>
    <w:p w:rsidR="00842DF9" w:rsidRDefault="00842DF9" w:rsidP="00842DF9">
      <w:pPr>
        <w:spacing w:before="180"/>
        <w:ind w:right="432"/>
      </w:pPr>
      <w:r>
        <w:t>STRENGTHS</w:t>
      </w:r>
    </w:p>
    <w:p w:rsidR="00E21735" w:rsidRDefault="00E21735" w:rsidP="00842DF9">
      <w:pPr>
        <w:spacing w:before="180"/>
        <w:ind w:right="432"/>
      </w:pPr>
    </w:p>
    <w:p w:rsidR="00842DF9" w:rsidRDefault="00842DF9" w:rsidP="00842DF9">
      <w:r>
        <w:t>OPPORTUNITIES FOR IMPROVEMENT</w:t>
      </w:r>
    </w:p>
    <w:p w:rsidR="00AF35F0" w:rsidRDefault="00AF35F0">
      <w:pPr>
        <w:widowControl/>
        <w:autoSpaceDE/>
        <w:autoSpaceDN/>
        <w:rPr>
          <w:b/>
          <w:bCs/>
        </w:rPr>
      </w:pPr>
      <w:r>
        <w:rPr>
          <w:b/>
          <w:bCs/>
        </w:rPr>
        <w:br w:type="page"/>
      </w:r>
    </w:p>
    <w:p w:rsidR="00842DF9" w:rsidRDefault="00A615AB" w:rsidP="00842DF9">
      <w:pPr>
        <w:spacing w:before="684" w:line="504" w:lineRule="atLeast"/>
        <w:rPr>
          <w:b/>
          <w:bCs/>
        </w:rPr>
      </w:pPr>
      <w:r>
        <w:rPr>
          <w:b/>
          <w:bCs/>
        </w:rPr>
        <w:lastRenderedPageBreak/>
        <w:t>7.4 Le</w:t>
      </w:r>
      <w:r w:rsidR="00F82110">
        <w:rPr>
          <w:b/>
          <w:bCs/>
        </w:rPr>
        <w:t>adership and Governance Results</w:t>
      </w:r>
    </w:p>
    <w:p w:rsidR="00842DF9" w:rsidRDefault="00842DF9" w:rsidP="00842DF9">
      <w:pPr>
        <w:spacing w:before="180"/>
        <w:ind w:right="504"/>
      </w:pPr>
      <w:r>
        <w:t xml:space="preserve">Your score in this Criteria Item for the consensus stage is in the      percentage range. </w:t>
      </w:r>
      <w:r w:rsidR="000F0762">
        <w:t>(Please refer to the scoring guidelines for Results Items.)</w:t>
      </w:r>
    </w:p>
    <w:p w:rsidR="00E21735" w:rsidRDefault="00842DF9" w:rsidP="00842DF9">
      <w:pPr>
        <w:spacing w:before="684" w:line="504" w:lineRule="atLeast"/>
      </w:pPr>
      <w:r>
        <w:t>STRENGTHS</w:t>
      </w:r>
    </w:p>
    <w:p w:rsidR="00E21735" w:rsidRDefault="00E21735" w:rsidP="00842DF9">
      <w:pPr>
        <w:spacing w:before="684" w:line="504" w:lineRule="atLeast"/>
      </w:pPr>
    </w:p>
    <w:p w:rsidR="00842DF9" w:rsidRDefault="00842DF9" w:rsidP="00842DF9">
      <w:r>
        <w:t>OPPORTUNITIES FOR IMPROVEMENT</w:t>
      </w:r>
    </w:p>
    <w:p w:rsidR="00842DF9" w:rsidRDefault="00842DF9" w:rsidP="00842DF9">
      <w:pPr>
        <w:spacing w:before="684" w:line="504" w:lineRule="atLeast"/>
      </w:pPr>
    </w:p>
    <w:p w:rsidR="00AF35F0" w:rsidRDefault="00AF35F0">
      <w:pPr>
        <w:widowControl/>
        <w:autoSpaceDE/>
        <w:autoSpaceDN/>
      </w:pPr>
      <w:r>
        <w:br w:type="page"/>
      </w:r>
    </w:p>
    <w:p w:rsidR="00842DF9" w:rsidRDefault="00842DF9" w:rsidP="00842DF9">
      <w:pPr>
        <w:spacing w:before="684" w:line="504" w:lineRule="atLeast"/>
        <w:rPr>
          <w:bCs/>
          <w:i/>
        </w:rPr>
      </w:pPr>
      <w:r>
        <w:lastRenderedPageBreak/>
        <w:t xml:space="preserve"> </w:t>
      </w:r>
      <w:r w:rsidR="00A615AB">
        <w:rPr>
          <w:b/>
          <w:bCs/>
        </w:rPr>
        <w:t xml:space="preserve">7.5 </w:t>
      </w:r>
      <w:r w:rsidR="00E21735">
        <w:rPr>
          <w:b/>
          <w:bCs/>
        </w:rPr>
        <w:t xml:space="preserve"> </w:t>
      </w:r>
      <w:r w:rsidR="00F82110">
        <w:rPr>
          <w:b/>
          <w:bCs/>
        </w:rPr>
        <w:t xml:space="preserve"> Financial and Market Results </w:t>
      </w:r>
      <w:r w:rsidR="00F82110" w:rsidRPr="00F82110">
        <w:rPr>
          <w:bCs/>
          <w:i/>
        </w:rPr>
        <w:t>(Business &amp; Healthcare) or</w:t>
      </w:r>
    </w:p>
    <w:p w:rsidR="00F82110" w:rsidRPr="00F82110" w:rsidRDefault="00F82110" w:rsidP="00842DF9">
      <w:pPr>
        <w:spacing w:before="684" w:line="504" w:lineRule="atLeast"/>
        <w:rPr>
          <w:bCs/>
          <w:i/>
        </w:rPr>
      </w:pPr>
      <w:r w:rsidRPr="00F82110">
        <w:rPr>
          <w:b/>
          <w:bCs/>
        </w:rPr>
        <w:t>7.5 Budgetary, Financial and Market Results</w:t>
      </w:r>
      <w:r>
        <w:rPr>
          <w:bCs/>
          <w:i/>
        </w:rPr>
        <w:t xml:space="preserve">(Education) </w:t>
      </w:r>
    </w:p>
    <w:p w:rsidR="00842DF9" w:rsidRDefault="00842DF9" w:rsidP="00842DF9">
      <w:pPr>
        <w:spacing w:before="180"/>
        <w:ind w:right="432"/>
      </w:pPr>
      <w:r>
        <w:t xml:space="preserve">Your score in this Criteria Item for the consensus stage is in the     percentage range. </w:t>
      </w:r>
      <w:r w:rsidR="000F0762">
        <w:t>(Please refer to the scoring guidelines for Results Items.)</w:t>
      </w:r>
    </w:p>
    <w:p w:rsidR="00842DF9" w:rsidRDefault="00842DF9" w:rsidP="00842DF9">
      <w:pPr>
        <w:spacing w:before="216"/>
      </w:pPr>
      <w:r>
        <w:t>STRENGTHS</w:t>
      </w:r>
    </w:p>
    <w:p w:rsidR="00E21735" w:rsidRDefault="00E21735" w:rsidP="00842DF9">
      <w:pPr>
        <w:spacing w:before="216"/>
      </w:pPr>
    </w:p>
    <w:p w:rsidR="00842DF9" w:rsidRDefault="00842DF9" w:rsidP="00842DF9">
      <w:r>
        <w:t>OPPORTUNITIES FOR IMPROVEMENT</w:t>
      </w:r>
    </w:p>
    <w:p w:rsidR="00842DF9" w:rsidRDefault="00842DF9" w:rsidP="00842DF9">
      <w:pPr>
        <w:spacing w:before="216"/>
      </w:pPr>
    </w:p>
    <w:p w:rsidR="00CA17D7" w:rsidRDefault="00CA17D7" w:rsidP="00842DF9">
      <w:pPr>
        <w:spacing w:before="216"/>
      </w:pPr>
    </w:p>
    <w:p w:rsidR="00CA17D7" w:rsidRDefault="00CA17D7" w:rsidP="00842DF9">
      <w:pPr>
        <w:spacing w:before="216"/>
      </w:pPr>
    </w:p>
    <w:p w:rsidR="00CA17D7" w:rsidRDefault="00AF35F0" w:rsidP="00AF35F0">
      <w:pPr>
        <w:widowControl/>
        <w:autoSpaceDE/>
        <w:autoSpaceDN/>
      </w:pPr>
      <w:r>
        <w:br w:type="page"/>
      </w:r>
    </w:p>
    <w:p w:rsidR="00CA17D7" w:rsidRDefault="00CA17D7" w:rsidP="00CA17D7">
      <w:pPr>
        <w:tabs>
          <w:tab w:val="left" w:pos="976"/>
          <w:tab w:val="left" w:pos="1852"/>
          <w:tab w:val="left" w:pos="2387"/>
        </w:tabs>
        <w:jc w:val="center"/>
        <w:rPr>
          <w:b/>
          <w:sz w:val="28"/>
          <w:szCs w:val="28"/>
        </w:rPr>
      </w:pPr>
      <w:r>
        <w:rPr>
          <w:b/>
          <w:sz w:val="28"/>
          <w:szCs w:val="28"/>
        </w:rPr>
        <w:lastRenderedPageBreak/>
        <w:t>201</w:t>
      </w:r>
      <w:r w:rsidR="007C0144">
        <w:rPr>
          <w:b/>
          <w:sz w:val="28"/>
          <w:szCs w:val="28"/>
        </w:rPr>
        <w:t>8</w:t>
      </w:r>
      <w:bookmarkStart w:id="0" w:name="_GoBack"/>
      <w:bookmarkEnd w:id="0"/>
      <w:r>
        <w:rPr>
          <w:b/>
          <w:sz w:val="28"/>
          <w:szCs w:val="28"/>
        </w:rPr>
        <w:t xml:space="preserve"> Baldrige Scoring Band Descriptors</w:t>
      </w:r>
    </w:p>
    <w:tbl>
      <w:tblPr>
        <w:tblW w:w="9810" w:type="dxa"/>
        <w:tblInd w:w="-432" w:type="dxa"/>
        <w:tblBorders>
          <w:top w:val="nil"/>
          <w:left w:val="nil"/>
          <w:bottom w:val="nil"/>
          <w:right w:val="nil"/>
        </w:tblBorders>
        <w:tblLayout w:type="fixed"/>
        <w:tblLook w:val="0000" w:firstRow="0" w:lastRow="0" w:firstColumn="0" w:lastColumn="0" w:noHBand="0" w:noVBand="0"/>
      </w:tblPr>
      <w:tblGrid>
        <w:gridCol w:w="992"/>
        <w:gridCol w:w="1032"/>
        <w:gridCol w:w="7786"/>
      </w:tblGrid>
      <w:tr w:rsidR="00AF35F0" w:rsidRPr="008429BE" w:rsidTr="00AF35F0">
        <w:trPr>
          <w:trHeight w:val="438"/>
        </w:trPr>
        <w:tc>
          <w:tcPr>
            <w:tcW w:w="992" w:type="dxa"/>
            <w:tcBorders>
              <w:top w:val="single" w:sz="12" w:space="0" w:color="000000"/>
              <w:left w:val="single" w:sz="12" w:space="0" w:color="000000"/>
              <w:bottom w:val="single" w:sz="12" w:space="0" w:color="000000"/>
              <w:right w:val="single" w:sz="2" w:space="0" w:color="auto"/>
            </w:tcBorders>
            <w:shd w:val="clear" w:color="auto" w:fill="C6D9F1"/>
          </w:tcPr>
          <w:p w:rsidR="00AF35F0" w:rsidRPr="008429BE" w:rsidRDefault="00AF35F0" w:rsidP="00D33901">
            <w:pPr>
              <w:adjustRightInd w:val="0"/>
              <w:rPr>
                <w:rFonts w:ascii="QUDFAQ+Calibri-Bold" w:hAnsi="QUDFAQ+Calibri-Bold" w:cs="QUDFAQ+Calibri-Bold"/>
                <w:color w:val="000000"/>
                <w:sz w:val="23"/>
                <w:szCs w:val="23"/>
              </w:rPr>
            </w:pPr>
            <w:r w:rsidRPr="008429BE">
              <w:rPr>
                <w:rFonts w:ascii="QUDFAQ+Calibri-Bold" w:hAnsi="QUDFAQ+Calibri-Bold" w:cs="QUDFAQ+Calibri-Bold"/>
                <w:b/>
                <w:bCs/>
                <w:color w:val="000000"/>
                <w:sz w:val="23"/>
                <w:szCs w:val="23"/>
              </w:rPr>
              <w:t xml:space="preserve">Score </w:t>
            </w:r>
          </w:p>
        </w:tc>
        <w:tc>
          <w:tcPr>
            <w:tcW w:w="1032" w:type="dxa"/>
            <w:tcBorders>
              <w:top w:val="single" w:sz="12" w:space="0" w:color="000000"/>
              <w:left w:val="single" w:sz="2" w:space="0" w:color="auto"/>
              <w:bottom w:val="single" w:sz="12" w:space="0" w:color="000000"/>
              <w:right w:val="single" w:sz="2" w:space="0" w:color="auto"/>
            </w:tcBorders>
            <w:shd w:val="clear" w:color="auto" w:fill="C6D9F1"/>
          </w:tcPr>
          <w:p w:rsidR="00AF35F0" w:rsidRPr="008429BE" w:rsidRDefault="00AF35F0" w:rsidP="00D33901">
            <w:pPr>
              <w:adjustRightInd w:val="0"/>
              <w:rPr>
                <w:rFonts w:ascii="QUDFAQ+Calibri-Bold" w:hAnsi="QUDFAQ+Calibri-Bold" w:cs="QUDFAQ+Calibri-Bold"/>
                <w:color w:val="000000"/>
                <w:sz w:val="23"/>
                <w:szCs w:val="23"/>
              </w:rPr>
            </w:pPr>
            <w:r w:rsidRPr="008429BE">
              <w:rPr>
                <w:rFonts w:ascii="QUDFAQ+Calibri-Bold" w:hAnsi="QUDFAQ+Calibri-Bold" w:cs="QUDFAQ+Calibri-Bold"/>
                <w:b/>
                <w:bCs/>
                <w:color w:val="000000"/>
                <w:sz w:val="23"/>
                <w:szCs w:val="23"/>
              </w:rPr>
              <w:t xml:space="preserve">Band Number </w:t>
            </w:r>
          </w:p>
        </w:tc>
        <w:tc>
          <w:tcPr>
            <w:tcW w:w="7786" w:type="dxa"/>
            <w:tcBorders>
              <w:top w:val="single" w:sz="12" w:space="0" w:color="000000"/>
              <w:left w:val="single" w:sz="2" w:space="0" w:color="auto"/>
              <w:bottom w:val="single" w:sz="12" w:space="0" w:color="000000"/>
              <w:right w:val="single" w:sz="12" w:space="0" w:color="000000"/>
            </w:tcBorders>
            <w:shd w:val="clear" w:color="auto" w:fill="C6D9F1"/>
            <w:vAlign w:val="center"/>
          </w:tcPr>
          <w:p w:rsidR="00AF35F0" w:rsidRPr="008429BE" w:rsidRDefault="00AF35F0" w:rsidP="00D33901">
            <w:pPr>
              <w:adjustRightInd w:val="0"/>
              <w:rPr>
                <w:rFonts w:ascii="QUDFAQ+Calibri-Bold" w:hAnsi="QUDFAQ+Calibri-Bold" w:cs="QUDFAQ+Calibri-Bold"/>
                <w:color w:val="000000"/>
                <w:sz w:val="23"/>
                <w:szCs w:val="23"/>
              </w:rPr>
            </w:pPr>
            <w:r w:rsidRPr="008429BE">
              <w:rPr>
                <w:rFonts w:ascii="QUDFAQ+Calibri-Bold" w:hAnsi="QUDFAQ+Calibri-Bold" w:cs="QUDFAQ+Calibri-Bold"/>
                <w:b/>
                <w:bCs/>
                <w:color w:val="000000"/>
                <w:sz w:val="23"/>
                <w:szCs w:val="23"/>
              </w:rPr>
              <w:t xml:space="preserve">PROCESS Scoring Band Descriptors </w:t>
            </w:r>
          </w:p>
        </w:tc>
      </w:tr>
      <w:tr w:rsidR="00CA17D7" w:rsidRPr="008429BE" w:rsidTr="00AF35F0">
        <w:trPr>
          <w:trHeight w:val="572"/>
        </w:trPr>
        <w:tc>
          <w:tcPr>
            <w:tcW w:w="992" w:type="dxa"/>
            <w:tcBorders>
              <w:top w:val="single" w:sz="12" w:space="0" w:color="000000"/>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0–150 </w:t>
            </w:r>
          </w:p>
        </w:tc>
        <w:tc>
          <w:tcPr>
            <w:tcW w:w="1032" w:type="dxa"/>
            <w:tcBorders>
              <w:top w:val="single" w:sz="12" w:space="0" w:color="000000"/>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1 </w:t>
            </w:r>
          </w:p>
        </w:tc>
        <w:tc>
          <w:tcPr>
            <w:tcW w:w="7786" w:type="dxa"/>
            <w:tcBorders>
              <w:top w:val="single" w:sz="12" w:space="0" w:color="000000"/>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early stages of developing and implementing approaches to the basic Criteria requirements, with deployment lagging and inhibiting progress. Improvement efforts are a combination of problem solving and an early general improvement orientation. </w:t>
            </w:r>
          </w:p>
        </w:tc>
      </w:tr>
      <w:tr w:rsidR="00CA17D7" w:rsidRPr="008429BE" w:rsidTr="00AF35F0">
        <w:trPr>
          <w:trHeight w:val="576"/>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151–200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2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effective, systematic approaches responsive to the basic requirements of the Criteria, but some areas or work units are in the early stages of deployment. The organization has developed a general improvement orientation that is forward-looking. </w:t>
            </w:r>
          </w:p>
        </w:tc>
      </w:tr>
      <w:tr w:rsidR="00CA17D7" w:rsidRPr="008429BE" w:rsidTr="00AF35F0">
        <w:trPr>
          <w:trHeight w:val="576"/>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201–260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3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effective, systematic approaches responsive to the basic requirements of most Criteria items, although there are still areas or work units in the early stages of deployment. Key processes are beginning to be systematically evaluated and improved. </w:t>
            </w:r>
          </w:p>
        </w:tc>
      </w:tr>
      <w:tr w:rsidR="00CA17D7" w:rsidRPr="008429BE" w:rsidTr="00AF35F0">
        <w:trPr>
          <w:trHeight w:val="703"/>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261–320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4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effective, systematic approaches responsive to the overall requirements of the Criteria, but deployment may vary in some areas or work units. Key processes benefit from fact-based evaluation and improvement, and approaches are being aligned with overall organizational needs. </w:t>
            </w:r>
          </w:p>
        </w:tc>
      </w:tr>
      <w:tr w:rsidR="00CA17D7" w:rsidRPr="008429BE" w:rsidTr="00AF35F0">
        <w:trPr>
          <w:trHeight w:val="703"/>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321–370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5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effective, systematic, well-deployed approaches responsive to the overall requirements of most Criteria items. The organization demonstrates a fact-based, systematic evaluation and improvement process and organizational learning, including some innovation, that result in improving the effectiveness and efficiency of key processes. </w:t>
            </w:r>
          </w:p>
        </w:tc>
      </w:tr>
      <w:tr w:rsidR="00CA17D7" w:rsidRPr="008429BE" w:rsidTr="00AF35F0">
        <w:trPr>
          <w:trHeight w:val="830"/>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371–430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6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refined approaches responsive to the multiple requirements of the Criteria. These approaches are characterized by the use of key measures, good deployment, and evidence of innovation in most areas. Organizational learning, including innovation and sharing of best practices, is a key management tool, and integration of approaches with current and future organizational needs is evident. </w:t>
            </w:r>
          </w:p>
        </w:tc>
      </w:tr>
      <w:tr w:rsidR="00CA17D7" w:rsidRPr="008429BE" w:rsidTr="00AF35F0">
        <w:trPr>
          <w:trHeight w:val="703"/>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431–480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7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The organization demonstrates refined approaches responsive to the multiple requirements of most Criteria items. It also demonstrates innovation, excellent deployment, and good-to-excellent use of measures in most areas. Good-to</w:t>
            </w:r>
            <w:r w:rsidR="00AF35F0">
              <w:rPr>
                <w:rFonts w:ascii="KFPHYT+Calibri" w:hAnsi="KFPHYT+Calibri" w:cs="KFPHYT+Calibri"/>
                <w:color w:val="000000"/>
              </w:rPr>
              <w:t xml:space="preserve"> </w:t>
            </w:r>
            <w:r w:rsidRPr="008429BE">
              <w:rPr>
                <w:rFonts w:ascii="KFPHYT+Calibri" w:hAnsi="KFPHYT+Calibri" w:cs="KFPHYT+Calibri"/>
                <w:color w:val="000000"/>
              </w:rPr>
              <w:softHyphen/>
              <w:t xml:space="preserve">excellent integration is evident, with organizational analysis, learning through innovation, and sharing of best practices as key management strategies. </w:t>
            </w:r>
          </w:p>
        </w:tc>
      </w:tr>
      <w:tr w:rsidR="00CA17D7" w:rsidRPr="008429BE" w:rsidTr="00AF35F0">
        <w:trPr>
          <w:trHeight w:val="737"/>
        </w:trPr>
        <w:tc>
          <w:tcPr>
            <w:tcW w:w="992" w:type="dxa"/>
            <w:tcBorders>
              <w:top w:val="single" w:sz="2" w:space="0" w:color="auto"/>
              <w:left w:val="single" w:sz="12" w:space="0" w:color="000000"/>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481–550 </w:t>
            </w:r>
          </w:p>
        </w:tc>
        <w:tc>
          <w:tcPr>
            <w:tcW w:w="1032" w:type="dxa"/>
            <w:tcBorders>
              <w:top w:val="single" w:sz="2" w:space="0" w:color="auto"/>
              <w:left w:val="single" w:sz="2" w:space="0" w:color="auto"/>
              <w:bottom w:val="single" w:sz="2" w:space="0" w:color="auto"/>
              <w:right w:val="single" w:sz="2" w:space="0" w:color="auto"/>
            </w:tcBorders>
          </w:tcPr>
          <w:p w:rsidR="00CA17D7" w:rsidRPr="008429BE" w:rsidRDefault="00CA17D7" w:rsidP="00D33901">
            <w:pPr>
              <w:adjustRightInd w:val="0"/>
              <w:rPr>
                <w:rFonts w:ascii="KFPHYT+Calibri" w:hAnsi="KFPHYT+Calibri" w:cs="KFPHYT+Calibri"/>
                <w:color w:val="000000"/>
                <w:sz w:val="21"/>
                <w:szCs w:val="21"/>
              </w:rPr>
            </w:pPr>
            <w:r w:rsidRPr="008429BE">
              <w:rPr>
                <w:rFonts w:ascii="KFPHYT+Calibri" w:hAnsi="KFPHYT+Calibri" w:cs="KFPHYT+Calibri"/>
                <w:color w:val="000000"/>
                <w:sz w:val="21"/>
                <w:szCs w:val="21"/>
              </w:rPr>
              <w:t xml:space="preserve">8 </w:t>
            </w:r>
          </w:p>
        </w:tc>
        <w:tc>
          <w:tcPr>
            <w:tcW w:w="7786" w:type="dxa"/>
            <w:tcBorders>
              <w:top w:val="single" w:sz="2" w:space="0" w:color="auto"/>
              <w:left w:val="single" w:sz="2" w:space="0" w:color="auto"/>
              <w:bottom w:val="single" w:sz="2" w:space="0" w:color="auto"/>
              <w:right w:val="single" w:sz="12" w:space="0" w:color="000000"/>
            </w:tcBorders>
          </w:tcPr>
          <w:p w:rsidR="00CA17D7" w:rsidRPr="008429BE" w:rsidRDefault="00CA17D7" w:rsidP="00D33901">
            <w:pPr>
              <w:adjustRightInd w:val="0"/>
              <w:rPr>
                <w:rFonts w:ascii="KFPHYT+Calibri" w:hAnsi="KFPHYT+Calibri" w:cs="KFPHYT+Calibri"/>
                <w:color w:val="000000"/>
              </w:rPr>
            </w:pPr>
            <w:r w:rsidRPr="008429BE">
              <w:rPr>
                <w:rFonts w:ascii="KFPHYT+Calibri" w:hAnsi="KFPHYT+Calibri" w:cs="KFPHYT+Calibri"/>
                <w:color w:val="000000"/>
              </w:rPr>
              <w:t xml:space="preserve">The organization demonstrates outstanding approaches focused on innovation. Approaches are fully deployed and demonstrate excellent, sustained use of measures. There is excellent integration of approaches with organizational needs. Organizational analysis, learning through innovation, and sharing of best practices are pervasive. </w:t>
            </w:r>
          </w:p>
        </w:tc>
      </w:tr>
    </w:tbl>
    <w:p w:rsidR="00CA17D7" w:rsidRDefault="00CA17D7" w:rsidP="00CA17D7">
      <w:pPr>
        <w:pStyle w:val="Footer"/>
        <w:tabs>
          <w:tab w:val="clear" w:pos="4320"/>
          <w:tab w:val="clear" w:pos="8640"/>
        </w:tabs>
        <w:rPr>
          <w:sz w:val="24"/>
        </w:rPr>
      </w:pPr>
    </w:p>
    <w:tbl>
      <w:tblPr>
        <w:tblW w:w="9378" w:type="dxa"/>
        <w:tblInd w:w="-432" w:type="dxa"/>
        <w:tblBorders>
          <w:top w:val="nil"/>
          <w:left w:val="nil"/>
          <w:bottom w:val="nil"/>
          <w:right w:val="nil"/>
        </w:tblBorders>
        <w:tblLayout w:type="fixed"/>
        <w:tblLook w:val="0000" w:firstRow="0" w:lastRow="0" w:firstColumn="0" w:lastColumn="0" w:noHBand="0" w:noVBand="0"/>
      </w:tblPr>
      <w:tblGrid>
        <w:gridCol w:w="1055"/>
        <w:gridCol w:w="1065"/>
        <w:gridCol w:w="7258"/>
      </w:tblGrid>
      <w:tr w:rsidR="00AF35F0" w:rsidRPr="007518A8" w:rsidTr="00AF35F0">
        <w:trPr>
          <w:trHeight w:val="436"/>
        </w:trPr>
        <w:tc>
          <w:tcPr>
            <w:tcW w:w="1055" w:type="dxa"/>
            <w:tcBorders>
              <w:top w:val="single" w:sz="12" w:space="0" w:color="000000"/>
              <w:left w:val="single" w:sz="12" w:space="0" w:color="000000"/>
              <w:bottom w:val="single" w:sz="12" w:space="0" w:color="000000"/>
              <w:right w:val="single" w:sz="2" w:space="0" w:color="auto"/>
            </w:tcBorders>
            <w:shd w:val="clear" w:color="auto" w:fill="C6D9F1"/>
          </w:tcPr>
          <w:p w:rsidR="00AF35F0" w:rsidRPr="007518A8" w:rsidRDefault="00AF35F0" w:rsidP="00D33901">
            <w:pPr>
              <w:adjustRightInd w:val="0"/>
              <w:jc w:val="right"/>
              <w:rPr>
                <w:rFonts w:ascii="QUDFAQ+Calibri-Bold" w:hAnsi="QUDFAQ+Calibri-Bold" w:cs="QUDFAQ+Calibri-Bold"/>
                <w:color w:val="000000"/>
                <w:sz w:val="23"/>
                <w:szCs w:val="23"/>
              </w:rPr>
            </w:pPr>
            <w:r w:rsidRPr="007518A8">
              <w:rPr>
                <w:rFonts w:ascii="QUDFAQ+Calibri-Bold" w:hAnsi="QUDFAQ+Calibri-Bold" w:cs="QUDFAQ+Calibri-Bold"/>
                <w:b/>
                <w:bCs/>
                <w:color w:val="000000"/>
                <w:sz w:val="23"/>
                <w:szCs w:val="23"/>
              </w:rPr>
              <w:lastRenderedPageBreak/>
              <w:t xml:space="preserve">Band Score </w:t>
            </w:r>
          </w:p>
        </w:tc>
        <w:tc>
          <w:tcPr>
            <w:tcW w:w="1065" w:type="dxa"/>
            <w:tcBorders>
              <w:top w:val="single" w:sz="12" w:space="0" w:color="000000"/>
              <w:left w:val="single" w:sz="2" w:space="0" w:color="auto"/>
              <w:bottom w:val="single" w:sz="12" w:space="0" w:color="000000"/>
              <w:right w:val="single" w:sz="2" w:space="0" w:color="auto"/>
            </w:tcBorders>
            <w:shd w:val="clear" w:color="auto" w:fill="C6D9F1"/>
          </w:tcPr>
          <w:p w:rsidR="00AF35F0" w:rsidRPr="007518A8" w:rsidRDefault="00AF35F0" w:rsidP="00D33901">
            <w:pPr>
              <w:adjustRightInd w:val="0"/>
              <w:jc w:val="center"/>
              <w:rPr>
                <w:rFonts w:ascii="QUDFAQ+Calibri-Bold" w:hAnsi="QUDFAQ+Calibri-Bold" w:cs="QUDFAQ+Calibri-Bold"/>
                <w:color w:val="000000"/>
                <w:sz w:val="23"/>
                <w:szCs w:val="23"/>
              </w:rPr>
            </w:pPr>
            <w:r w:rsidRPr="007518A8">
              <w:rPr>
                <w:rFonts w:ascii="QUDFAQ+Calibri-Bold" w:hAnsi="QUDFAQ+Calibri-Bold" w:cs="QUDFAQ+Calibri-Bold"/>
                <w:b/>
                <w:bCs/>
                <w:color w:val="000000"/>
                <w:sz w:val="23"/>
                <w:szCs w:val="23"/>
              </w:rPr>
              <w:t xml:space="preserve">Band Number </w:t>
            </w:r>
          </w:p>
        </w:tc>
        <w:tc>
          <w:tcPr>
            <w:tcW w:w="7258" w:type="dxa"/>
            <w:tcBorders>
              <w:top w:val="single" w:sz="12" w:space="0" w:color="000000"/>
              <w:left w:val="single" w:sz="2" w:space="0" w:color="auto"/>
              <w:bottom w:val="single" w:sz="12" w:space="0" w:color="000000"/>
              <w:right w:val="single" w:sz="12" w:space="0" w:color="000000"/>
            </w:tcBorders>
            <w:shd w:val="clear" w:color="auto" w:fill="C6D9F1"/>
            <w:vAlign w:val="center"/>
          </w:tcPr>
          <w:p w:rsidR="00AF35F0" w:rsidRPr="007518A8" w:rsidRDefault="00AF35F0" w:rsidP="00D33901">
            <w:pPr>
              <w:adjustRightInd w:val="0"/>
              <w:rPr>
                <w:rFonts w:ascii="QUDFAQ+Calibri-Bold" w:hAnsi="QUDFAQ+Calibri-Bold" w:cs="QUDFAQ+Calibri-Bold"/>
                <w:color w:val="000000"/>
                <w:sz w:val="23"/>
                <w:szCs w:val="23"/>
              </w:rPr>
            </w:pPr>
            <w:r w:rsidRPr="007518A8">
              <w:rPr>
                <w:rFonts w:ascii="QUDFAQ+Calibri-Bold" w:hAnsi="QUDFAQ+Calibri-Bold" w:cs="QUDFAQ+Calibri-Bold"/>
                <w:b/>
                <w:bCs/>
                <w:color w:val="000000"/>
                <w:sz w:val="23"/>
                <w:szCs w:val="23"/>
              </w:rPr>
              <w:t xml:space="preserve">RESULTS Scoring Band Descriptors </w:t>
            </w:r>
          </w:p>
        </w:tc>
      </w:tr>
      <w:tr w:rsidR="00CA17D7" w:rsidRPr="007518A8" w:rsidTr="00AF35F0">
        <w:trPr>
          <w:trHeight w:val="317"/>
        </w:trPr>
        <w:tc>
          <w:tcPr>
            <w:tcW w:w="1055" w:type="dxa"/>
            <w:tcBorders>
              <w:top w:val="single" w:sz="12" w:space="0" w:color="000000"/>
              <w:left w:val="single" w:sz="12" w:space="0" w:color="000000"/>
              <w:bottom w:val="single" w:sz="2" w:space="0" w:color="auto"/>
              <w:right w:val="single" w:sz="2" w:space="0" w:color="auto"/>
            </w:tcBorders>
            <w:vAlign w:val="center"/>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0–125 </w:t>
            </w:r>
          </w:p>
        </w:tc>
        <w:tc>
          <w:tcPr>
            <w:tcW w:w="1065" w:type="dxa"/>
            <w:tcBorders>
              <w:top w:val="single" w:sz="12" w:space="0" w:color="000000"/>
              <w:left w:val="single" w:sz="2" w:space="0" w:color="auto"/>
              <w:bottom w:val="single" w:sz="2" w:space="0" w:color="auto"/>
              <w:right w:val="single" w:sz="2" w:space="0" w:color="auto"/>
            </w:tcBorders>
            <w:vAlign w:val="center"/>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1 </w:t>
            </w:r>
          </w:p>
        </w:tc>
        <w:tc>
          <w:tcPr>
            <w:tcW w:w="7258" w:type="dxa"/>
            <w:tcBorders>
              <w:top w:val="single" w:sz="12" w:space="0" w:color="000000"/>
              <w:left w:val="single" w:sz="2" w:space="0" w:color="auto"/>
              <w:bottom w:val="single" w:sz="2" w:space="0" w:color="auto"/>
              <w:right w:val="single" w:sz="12" w:space="0" w:color="000000"/>
            </w:tcBorders>
            <w:vAlign w:val="center"/>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 xml:space="preserve">A few results are reported responsive to the basic Criteria requirements, but they generally lack trend and comparative data. </w:t>
            </w:r>
          </w:p>
        </w:tc>
      </w:tr>
      <w:tr w:rsidR="00CA17D7" w:rsidRPr="007518A8" w:rsidTr="00AF35F0">
        <w:trPr>
          <w:trHeight w:val="576"/>
        </w:trPr>
        <w:tc>
          <w:tcPr>
            <w:tcW w:w="1055" w:type="dxa"/>
            <w:tcBorders>
              <w:top w:val="single" w:sz="2" w:space="0" w:color="auto"/>
              <w:left w:val="single" w:sz="12" w:space="0" w:color="000000"/>
              <w:bottom w:val="single" w:sz="2" w:space="0" w:color="auto"/>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126–170 </w:t>
            </w:r>
          </w:p>
        </w:tc>
        <w:tc>
          <w:tcPr>
            <w:tcW w:w="1065" w:type="dxa"/>
            <w:tcBorders>
              <w:top w:val="single" w:sz="2" w:space="0" w:color="auto"/>
              <w:left w:val="single" w:sz="2" w:space="0" w:color="auto"/>
              <w:bottom w:val="single" w:sz="2" w:space="0" w:color="auto"/>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2 </w:t>
            </w:r>
          </w:p>
        </w:tc>
        <w:tc>
          <w:tcPr>
            <w:tcW w:w="7258" w:type="dxa"/>
            <w:tcBorders>
              <w:top w:val="single" w:sz="2" w:space="0" w:color="auto"/>
              <w:left w:val="single" w:sz="2" w:space="0" w:color="auto"/>
              <w:bottom w:val="single" w:sz="2" w:space="0" w:color="auto"/>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 xml:space="preserve">Results are reported for several areas responsive to the basic Criteria requirements and the accomplishment of the organization’s mission. Some of these results demonstrate good performance levels. The use of comparative and trend data is in the early stages. </w:t>
            </w:r>
          </w:p>
        </w:tc>
      </w:tr>
      <w:tr w:rsidR="00CA17D7" w:rsidRPr="007518A8" w:rsidTr="00AF35F0">
        <w:trPr>
          <w:trHeight w:val="703"/>
        </w:trPr>
        <w:tc>
          <w:tcPr>
            <w:tcW w:w="1055" w:type="dxa"/>
            <w:tcBorders>
              <w:top w:val="single" w:sz="2" w:space="0" w:color="auto"/>
              <w:left w:val="single" w:sz="12" w:space="0" w:color="000000"/>
              <w:bottom w:val="single" w:sz="2" w:space="0" w:color="auto"/>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171–210 </w:t>
            </w:r>
          </w:p>
        </w:tc>
        <w:tc>
          <w:tcPr>
            <w:tcW w:w="1065" w:type="dxa"/>
            <w:tcBorders>
              <w:top w:val="single" w:sz="2" w:space="0" w:color="auto"/>
              <w:left w:val="single" w:sz="2" w:space="0" w:color="auto"/>
              <w:bottom w:val="single" w:sz="2" w:space="0" w:color="auto"/>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3 </w:t>
            </w:r>
          </w:p>
        </w:tc>
        <w:tc>
          <w:tcPr>
            <w:tcW w:w="7258" w:type="dxa"/>
            <w:tcBorders>
              <w:top w:val="single" w:sz="2" w:space="0" w:color="auto"/>
              <w:left w:val="single" w:sz="2" w:space="0" w:color="auto"/>
              <w:bottom w:val="single" w:sz="2" w:space="0" w:color="auto"/>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 xml:space="preserve">Results address areas of importance to the basic Criteria requirements and accomplishment of the organization’s mission, with good performance being achieved. Comparative and trend data are available for some of these important results areas, and some beneficial trends are evident. </w:t>
            </w:r>
          </w:p>
        </w:tc>
      </w:tr>
      <w:tr w:rsidR="00CA17D7" w:rsidRPr="007518A8" w:rsidTr="00AF35F0">
        <w:trPr>
          <w:trHeight w:val="703"/>
        </w:trPr>
        <w:tc>
          <w:tcPr>
            <w:tcW w:w="1055" w:type="dxa"/>
            <w:tcBorders>
              <w:top w:val="single" w:sz="2" w:space="0" w:color="auto"/>
              <w:left w:val="single" w:sz="12" w:space="0" w:color="000000"/>
              <w:bottom w:val="single" w:sz="2" w:space="0" w:color="auto"/>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211–255 </w:t>
            </w:r>
          </w:p>
        </w:tc>
        <w:tc>
          <w:tcPr>
            <w:tcW w:w="1065" w:type="dxa"/>
            <w:tcBorders>
              <w:top w:val="single" w:sz="2" w:space="0" w:color="auto"/>
              <w:left w:val="single" w:sz="2" w:space="0" w:color="auto"/>
              <w:bottom w:val="single" w:sz="2" w:space="0" w:color="auto"/>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4 </w:t>
            </w:r>
          </w:p>
        </w:tc>
        <w:tc>
          <w:tcPr>
            <w:tcW w:w="7258" w:type="dxa"/>
            <w:tcBorders>
              <w:top w:val="single" w:sz="2" w:space="0" w:color="auto"/>
              <w:left w:val="single" w:sz="2" w:space="0" w:color="auto"/>
              <w:bottom w:val="single" w:sz="2" w:space="0" w:color="auto"/>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 xml:space="preserve">Results address some key customer/stakeholder, market, and process requirements, and they demonstrate good relative performance against relevant comparisons. There are no patterns of adverse trends or poor performance in areas of importance to the overall Criteria requirements and the accomplishment of the organization’s mission. </w:t>
            </w:r>
          </w:p>
        </w:tc>
      </w:tr>
      <w:tr w:rsidR="00CA17D7" w:rsidRPr="007518A8" w:rsidTr="00AF35F0">
        <w:trPr>
          <w:trHeight w:val="832"/>
        </w:trPr>
        <w:tc>
          <w:tcPr>
            <w:tcW w:w="1055" w:type="dxa"/>
            <w:tcBorders>
              <w:top w:val="single" w:sz="2" w:space="0" w:color="auto"/>
              <w:left w:val="single" w:sz="12" w:space="0" w:color="000000"/>
              <w:bottom w:val="single" w:sz="2" w:space="0" w:color="auto"/>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256–300 </w:t>
            </w:r>
          </w:p>
        </w:tc>
        <w:tc>
          <w:tcPr>
            <w:tcW w:w="1065" w:type="dxa"/>
            <w:tcBorders>
              <w:top w:val="single" w:sz="2" w:space="0" w:color="auto"/>
              <w:left w:val="single" w:sz="2" w:space="0" w:color="auto"/>
              <w:bottom w:val="single" w:sz="2" w:space="0" w:color="auto"/>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5 </w:t>
            </w:r>
          </w:p>
        </w:tc>
        <w:tc>
          <w:tcPr>
            <w:tcW w:w="7258" w:type="dxa"/>
            <w:tcBorders>
              <w:top w:val="single" w:sz="2" w:space="0" w:color="auto"/>
              <w:left w:val="single" w:sz="2" w:space="0" w:color="auto"/>
              <w:bottom w:val="single" w:sz="2" w:space="0" w:color="auto"/>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 xml:space="preserve">Results address most key customer/stakeholder, market, and process requirements, and they demonstrate areas of strength against relevant comparisons and/or benchmarks. Beneficial trends and/or good performance are reported for most areas of importance to the overall Criteria requirements and the accomplishment of the organization’s mission. </w:t>
            </w:r>
          </w:p>
        </w:tc>
      </w:tr>
      <w:tr w:rsidR="00CA17D7" w:rsidRPr="007518A8" w:rsidTr="00AF35F0">
        <w:trPr>
          <w:trHeight w:val="830"/>
        </w:trPr>
        <w:tc>
          <w:tcPr>
            <w:tcW w:w="1055" w:type="dxa"/>
            <w:tcBorders>
              <w:top w:val="single" w:sz="2" w:space="0" w:color="auto"/>
              <w:left w:val="single" w:sz="12" w:space="0" w:color="000000"/>
              <w:bottom w:val="single" w:sz="2" w:space="0" w:color="auto"/>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301–345 </w:t>
            </w:r>
          </w:p>
        </w:tc>
        <w:tc>
          <w:tcPr>
            <w:tcW w:w="1065" w:type="dxa"/>
            <w:tcBorders>
              <w:top w:val="single" w:sz="2" w:space="0" w:color="auto"/>
              <w:left w:val="single" w:sz="2" w:space="0" w:color="auto"/>
              <w:bottom w:val="single" w:sz="2" w:space="0" w:color="auto"/>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6 </w:t>
            </w:r>
          </w:p>
        </w:tc>
        <w:tc>
          <w:tcPr>
            <w:tcW w:w="7258" w:type="dxa"/>
            <w:tcBorders>
              <w:top w:val="single" w:sz="2" w:space="0" w:color="auto"/>
              <w:left w:val="single" w:sz="2" w:space="0" w:color="auto"/>
              <w:bottom w:val="single" w:sz="2" w:space="0" w:color="auto"/>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Results address most key customer/stakeholder, market, and process requirements, as well as many action plan requirements. Results demonstrate beneficial trends in most areas of importance to the Criteria requirements and the accomplishment of the organization’s mission, and the organization is an industry</w:t>
            </w:r>
            <w:r w:rsidRPr="007518A8">
              <w:rPr>
                <w:rFonts w:ascii="KFPHYT+Calibri" w:hAnsi="KFPHYT+Calibri" w:cs="KFPHYT+Calibri"/>
                <w:color w:val="000000"/>
                <w:sz w:val="14"/>
                <w:szCs w:val="14"/>
              </w:rPr>
              <w:t xml:space="preserve">2 </w:t>
            </w:r>
            <w:r w:rsidRPr="007518A8">
              <w:rPr>
                <w:rFonts w:ascii="KFPHYT+Calibri" w:hAnsi="KFPHYT+Calibri" w:cs="KFPHYT+Calibri"/>
                <w:color w:val="000000"/>
              </w:rPr>
              <w:t xml:space="preserve">leader in some results areas. </w:t>
            </w:r>
          </w:p>
        </w:tc>
      </w:tr>
      <w:tr w:rsidR="00CA17D7" w:rsidRPr="007518A8" w:rsidTr="00AF35F0">
        <w:trPr>
          <w:trHeight w:val="832"/>
        </w:trPr>
        <w:tc>
          <w:tcPr>
            <w:tcW w:w="1055" w:type="dxa"/>
            <w:tcBorders>
              <w:top w:val="single" w:sz="2" w:space="0" w:color="auto"/>
              <w:left w:val="single" w:sz="12" w:space="0" w:color="000000"/>
              <w:bottom w:val="single" w:sz="2" w:space="0" w:color="auto"/>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346–390 </w:t>
            </w:r>
          </w:p>
        </w:tc>
        <w:tc>
          <w:tcPr>
            <w:tcW w:w="1065" w:type="dxa"/>
            <w:tcBorders>
              <w:top w:val="single" w:sz="2" w:space="0" w:color="auto"/>
              <w:left w:val="single" w:sz="2" w:space="0" w:color="auto"/>
              <w:bottom w:val="single" w:sz="2" w:space="0" w:color="auto"/>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7 </w:t>
            </w:r>
          </w:p>
        </w:tc>
        <w:tc>
          <w:tcPr>
            <w:tcW w:w="7258" w:type="dxa"/>
            <w:tcBorders>
              <w:top w:val="single" w:sz="2" w:space="0" w:color="auto"/>
              <w:left w:val="single" w:sz="2" w:space="0" w:color="auto"/>
              <w:bottom w:val="single" w:sz="2" w:space="0" w:color="auto"/>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Results address most key customer/stakeholder, market, process, and action plan requirements. Results demonstrate excellent organizational performance levels and some industry</w:t>
            </w:r>
            <w:r w:rsidRPr="007518A8">
              <w:rPr>
                <w:rFonts w:ascii="KFPHYT+Calibri" w:hAnsi="KFPHYT+Calibri" w:cs="KFPHYT+Calibri"/>
                <w:color w:val="000000"/>
                <w:sz w:val="14"/>
                <w:szCs w:val="14"/>
              </w:rPr>
              <w:t xml:space="preserve">2 </w:t>
            </w:r>
            <w:r w:rsidRPr="007518A8">
              <w:rPr>
                <w:rFonts w:ascii="KFPHYT+Calibri" w:hAnsi="KFPHYT+Calibri" w:cs="KFPHYT+Calibri"/>
                <w:color w:val="000000"/>
              </w:rPr>
              <w:t xml:space="preserve">leadership. Results demonstrate sustained beneficial trends in most areas of importance to the multiple Criteria requirements and the accomplishment of the organization’s mission. </w:t>
            </w:r>
          </w:p>
        </w:tc>
      </w:tr>
      <w:tr w:rsidR="00CA17D7" w:rsidRPr="007518A8" w:rsidTr="00AF35F0">
        <w:trPr>
          <w:trHeight w:val="961"/>
        </w:trPr>
        <w:tc>
          <w:tcPr>
            <w:tcW w:w="1055" w:type="dxa"/>
            <w:tcBorders>
              <w:top w:val="single" w:sz="2" w:space="0" w:color="auto"/>
              <w:left w:val="single" w:sz="12" w:space="0" w:color="000000"/>
              <w:bottom w:val="single" w:sz="4" w:space="0" w:color="000000"/>
              <w:right w:val="single" w:sz="2" w:space="0" w:color="auto"/>
            </w:tcBorders>
          </w:tcPr>
          <w:p w:rsidR="00CA17D7" w:rsidRPr="007518A8" w:rsidRDefault="00CA17D7" w:rsidP="00D33901">
            <w:pPr>
              <w:adjustRightInd w:val="0"/>
              <w:jc w:val="right"/>
              <w:rPr>
                <w:rFonts w:ascii="KFPHYT+Calibri" w:hAnsi="KFPHYT+Calibri" w:cs="KFPHYT+Calibri"/>
                <w:color w:val="000000"/>
                <w:sz w:val="21"/>
                <w:szCs w:val="21"/>
              </w:rPr>
            </w:pPr>
            <w:r w:rsidRPr="007518A8">
              <w:rPr>
                <w:rFonts w:ascii="KFPHYT+Calibri" w:hAnsi="KFPHYT+Calibri" w:cs="KFPHYT+Calibri"/>
                <w:color w:val="000000"/>
                <w:sz w:val="21"/>
                <w:szCs w:val="21"/>
              </w:rPr>
              <w:t xml:space="preserve">391–450 </w:t>
            </w:r>
          </w:p>
        </w:tc>
        <w:tc>
          <w:tcPr>
            <w:tcW w:w="1065" w:type="dxa"/>
            <w:tcBorders>
              <w:top w:val="single" w:sz="2" w:space="0" w:color="auto"/>
              <w:left w:val="single" w:sz="2" w:space="0" w:color="auto"/>
              <w:bottom w:val="single" w:sz="4" w:space="0" w:color="000000"/>
              <w:right w:val="single" w:sz="2" w:space="0" w:color="auto"/>
            </w:tcBorders>
          </w:tcPr>
          <w:p w:rsidR="00CA17D7" w:rsidRPr="007518A8" w:rsidRDefault="00CA17D7" w:rsidP="00D33901">
            <w:pPr>
              <w:adjustRightInd w:val="0"/>
              <w:jc w:val="center"/>
              <w:rPr>
                <w:rFonts w:ascii="KFPHYT+Calibri" w:hAnsi="KFPHYT+Calibri" w:cs="KFPHYT+Calibri"/>
                <w:color w:val="000000"/>
                <w:sz w:val="21"/>
                <w:szCs w:val="21"/>
              </w:rPr>
            </w:pPr>
            <w:r w:rsidRPr="007518A8">
              <w:rPr>
                <w:rFonts w:ascii="KFPHYT+Calibri" w:hAnsi="KFPHYT+Calibri" w:cs="KFPHYT+Calibri"/>
                <w:color w:val="000000"/>
                <w:sz w:val="21"/>
                <w:szCs w:val="21"/>
              </w:rPr>
              <w:t xml:space="preserve">8 </w:t>
            </w:r>
          </w:p>
        </w:tc>
        <w:tc>
          <w:tcPr>
            <w:tcW w:w="7258" w:type="dxa"/>
            <w:tcBorders>
              <w:top w:val="single" w:sz="2" w:space="0" w:color="auto"/>
              <w:left w:val="single" w:sz="2" w:space="0" w:color="auto"/>
              <w:bottom w:val="single" w:sz="4" w:space="0" w:color="000000"/>
              <w:right w:val="single" w:sz="12" w:space="0" w:color="000000"/>
            </w:tcBorders>
          </w:tcPr>
          <w:p w:rsidR="00CA17D7" w:rsidRPr="007518A8" w:rsidRDefault="00CA17D7" w:rsidP="00D33901">
            <w:pPr>
              <w:adjustRightInd w:val="0"/>
              <w:rPr>
                <w:rFonts w:ascii="KFPHYT+Calibri" w:hAnsi="KFPHYT+Calibri" w:cs="KFPHYT+Calibri"/>
                <w:color w:val="000000"/>
              </w:rPr>
            </w:pPr>
            <w:r w:rsidRPr="007518A8">
              <w:rPr>
                <w:rFonts w:ascii="KFPHYT+Calibri" w:hAnsi="KFPHYT+Calibri" w:cs="KFPHYT+Calibri"/>
                <w:color w:val="000000"/>
              </w:rPr>
              <w:t>R</w:t>
            </w:r>
            <w:r w:rsidRPr="007709AA">
              <w:t xml:space="preserve"> Results fully address key customer/stakeholder, market, process, and action plan requirements and include projections of future performance. Results demonstrate excellent organizational performance levels, as well as national and world leadership. Results demonstrate sustained beneficial trends in all areas of importance to the multiple Criteria requirements and the accomplishment of the organization’s mission</w:t>
            </w:r>
            <w:r w:rsidR="00AF35F0">
              <w:t xml:space="preserve"> </w:t>
            </w:r>
            <w:r w:rsidRPr="007518A8">
              <w:rPr>
                <w:rFonts w:ascii="KFPHYT+Calibri" w:hAnsi="KFPHYT+Calibri" w:cs="KFPHYT+Calibri"/>
                <w:color w:val="000000"/>
              </w:rPr>
              <w:t xml:space="preserve">fully address key customer/stakeholder, market, process, and </w:t>
            </w:r>
            <w:r w:rsidR="00AF35F0">
              <w:t>re</w:t>
            </w:r>
            <w:r w:rsidR="00AF35F0" w:rsidRPr="007518A8">
              <w:rPr>
                <w:rFonts w:ascii="KFPHYT+Calibri" w:hAnsi="KFPHYT+Calibri" w:cs="KFPHYT+Calibri"/>
                <w:color w:val="000000"/>
              </w:rPr>
              <w:t>sults</w:t>
            </w:r>
            <w:r w:rsidR="00AF35F0">
              <w:rPr>
                <w:rFonts w:ascii="KFPHYT+Calibri" w:hAnsi="KFPHYT+Calibri" w:cs="KFPHYT+Calibri"/>
                <w:color w:val="000000"/>
              </w:rPr>
              <w:t>.</w:t>
            </w:r>
          </w:p>
        </w:tc>
      </w:tr>
    </w:tbl>
    <w:p w:rsidR="00766F31" w:rsidRDefault="00766F31" w:rsidP="00AF35F0"/>
    <w:sectPr w:rsidR="00766F31" w:rsidSect="00E41F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DFAQ+Calibri-Bold">
    <w:altName w:val="Calibri"/>
    <w:panose1 w:val="00000000000000000000"/>
    <w:charset w:val="00"/>
    <w:family w:val="swiss"/>
    <w:notTrueType/>
    <w:pitch w:val="default"/>
    <w:sig w:usb0="00000003" w:usb1="00000000" w:usb2="00000000" w:usb3="00000000" w:csb0="00000001" w:csb1="00000000"/>
  </w:font>
  <w:font w:name="KFPHYT+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876A2"/>
    <w:rsid w:val="00002888"/>
    <w:rsid w:val="00004F5A"/>
    <w:rsid w:val="00005174"/>
    <w:rsid w:val="0001402C"/>
    <w:rsid w:val="00014DC9"/>
    <w:rsid w:val="00016573"/>
    <w:rsid w:val="00022441"/>
    <w:rsid w:val="00030D85"/>
    <w:rsid w:val="000312FB"/>
    <w:rsid w:val="00051683"/>
    <w:rsid w:val="0005257F"/>
    <w:rsid w:val="000526E0"/>
    <w:rsid w:val="00056B54"/>
    <w:rsid w:val="000609CD"/>
    <w:rsid w:val="00063ACC"/>
    <w:rsid w:val="00063FC8"/>
    <w:rsid w:val="00066EA1"/>
    <w:rsid w:val="00071754"/>
    <w:rsid w:val="00073D4F"/>
    <w:rsid w:val="0008062E"/>
    <w:rsid w:val="000816C4"/>
    <w:rsid w:val="000818CB"/>
    <w:rsid w:val="00086213"/>
    <w:rsid w:val="000900CD"/>
    <w:rsid w:val="00093D5F"/>
    <w:rsid w:val="000948B8"/>
    <w:rsid w:val="000A0AC6"/>
    <w:rsid w:val="000A0ADA"/>
    <w:rsid w:val="000A75E4"/>
    <w:rsid w:val="000B2853"/>
    <w:rsid w:val="000B6717"/>
    <w:rsid w:val="000B6BB8"/>
    <w:rsid w:val="000C1ACD"/>
    <w:rsid w:val="000C4A5B"/>
    <w:rsid w:val="000C7682"/>
    <w:rsid w:val="000D1AA5"/>
    <w:rsid w:val="000D43C9"/>
    <w:rsid w:val="000D7EC2"/>
    <w:rsid w:val="000E25B5"/>
    <w:rsid w:val="000E4AA7"/>
    <w:rsid w:val="000E58C6"/>
    <w:rsid w:val="000F0762"/>
    <w:rsid w:val="000F23A6"/>
    <w:rsid w:val="000F2438"/>
    <w:rsid w:val="000F52FD"/>
    <w:rsid w:val="0010405F"/>
    <w:rsid w:val="00105C07"/>
    <w:rsid w:val="0010653F"/>
    <w:rsid w:val="00111682"/>
    <w:rsid w:val="00113E93"/>
    <w:rsid w:val="001210E1"/>
    <w:rsid w:val="00122F86"/>
    <w:rsid w:val="001230D9"/>
    <w:rsid w:val="00125078"/>
    <w:rsid w:val="00125CAC"/>
    <w:rsid w:val="001315CB"/>
    <w:rsid w:val="00134828"/>
    <w:rsid w:val="00135462"/>
    <w:rsid w:val="00136900"/>
    <w:rsid w:val="00145F6C"/>
    <w:rsid w:val="0015390D"/>
    <w:rsid w:val="00153F1B"/>
    <w:rsid w:val="00161356"/>
    <w:rsid w:val="00161548"/>
    <w:rsid w:val="00162F63"/>
    <w:rsid w:val="00163EF4"/>
    <w:rsid w:val="001668DF"/>
    <w:rsid w:val="00174700"/>
    <w:rsid w:val="0017478B"/>
    <w:rsid w:val="00175E77"/>
    <w:rsid w:val="001772E1"/>
    <w:rsid w:val="001779ED"/>
    <w:rsid w:val="00177BD0"/>
    <w:rsid w:val="00183C31"/>
    <w:rsid w:val="00184107"/>
    <w:rsid w:val="001867B7"/>
    <w:rsid w:val="001876A2"/>
    <w:rsid w:val="00193059"/>
    <w:rsid w:val="001A0352"/>
    <w:rsid w:val="001A1CBB"/>
    <w:rsid w:val="001C27F1"/>
    <w:rsid w:val="001C4627"/>
    <w:rsid w:val="001D0974"/>
    <w:rsid w:val="001D3BDD"/>
    <w:rsid w:val="001D67CF"/>
    <w:rsid w:val="001E358E"/>
    <w:rsid w:val="001E4788"/>
    <w:rsid w:val="001E6B6F"/>
    <w:rsid w:val="001E7001"/>
    <w:rsid w:val="001F2BAE"/>
    <w:rsid w:val="001F4FED"/>
    <w:rsid w:val="00203FA4"/>
    <w:rsid w:val="002078AC"/>
    <w:rsid w:val="00213043"/>
    <w:rsid w:val="00217E7B"/>
    <w:rsid w:val="00223D0A"/>
    <w:rsid w:val="00224860"/>
    <w:rsid w:val="002253D0"/>
    <w:rsid w:val="00225C88"/>
    <w:rsid w:val="00231096"/>
    <w:rsid w:val="0023500A"/>
    <w:rsid w:val="00244341"/>
    <w:rsid w:val="00250477"/>
    <w:rsid w:val="00254482"/>
    <w:rsid w:val="00255688"/>
    <w:rsid w:val="002559E5"/>
    <w:rsid w:val="00256A27"/>
    <w:rsid w:val="00260B21"/>
    <w:rsid w:val="002623D5"/>
    <w:rsid w:val="00264D8B"/>
    <w:rsid w:val="00265E52"/>
    <w:rsid w:val="00276B2B"/>
    <w:rsid w:val="002809AC"/>
    <w:rsid w:val="0028374D"/>
    <w:rsid w:val="00283936"/>
    <w:rsid w:val="0028768E"/>
    <w:rsid w:val="00290152"/>
    <w:rsid w:val="002903C0"/>
    <w:rsid w:val="0029757F"/>
    <w:rsid w:val="0029798B"/>
    <w:rsid w:val="002A2636"/>
    <w:rsid w:val="002A51EE"/>
    <w:rsid w:val="002A5D92"/>
    <w:rsid w:val="002B380E"/>
    <w:rsid w:val="002B6692"/>
    <w:rsid w:val="002C190A"/>
    <w:rsid w:val="002C292D"/>
    <w:rsid w:val="002C3219"/>
    <w:rsid w:val="002D27B9"/>
    <w:rsid w:val="002D4C6E"/>
    <w:rsid w:val="002E27CF"/>
    <w:rsid w:val="002E6D05"/>
    <w:rsid w:val="002F156C"/>
    <w:rsid w:val="002F1D64"/>
    <w:rsid w:val="002F4C8A"/>
    <w:rsid w:val="002F57F5"/>
    <w:rsid w:val="003042AF"/>
    <w:rsid w:val="00306E05"/>
    <w:rsid w:val="00312031"/>
    <w:rsid w:val="0031640A"/>
    <w:rsid w:val="003204BB"/>
    <w:rsid w:val="0032125D"/>
    <w:rsid w:val="00333BA9"/>
    <w:rsid w:val="0033639D"/>
    <w:rsid w:val="003418E7"/>
    <w:rsid w:val="00342E02"/>
    <w:rsid w:val="00355C8C"/>
    <w:rsid w:val="003562B7"/>
    <w:rsid w:val="00365E11"/>
    <w:rsid w:val="003675F9"/>
    <w:rsid w:val="003679E1"/>
    <w:rsid w:val="00370FA3"/>
    <w:rsid w:val="00372186"/>
    <w:rsid w:val="00373364"/>
    <w:rsid w:val="003763BD"/>
    <w:rsid w:val="00384266"/>
    <w:rsid w:val="00384F7A"/>
    <w:rsid w:val="0038542D"/>
    <w:rsid w:val="003861C1"/>
    <w:rsid w:val="00386F85"/>
    <w:rsid w:val="0038773D"/>
    <w:rsid w:val="00387794"/>
    <w:rsid w:val="003900B9"/>
    <w:rsid w:val="00394867"/>
    <w:rsid w:val="00394C84"/>
    <w:rsid w:val="00396D51"/>
    <w:rsid w:val="003A1639"/>
    <w:rsid w:val="003A5F1C"/>
    <w:rsid w:val="003A6983"/>
    <w:rsid w:val="003B004E"/>
    <w:rsid w:val="003B35F8"/>
    <w:rsid w:val="003B5544"/>
    <w:rsid w:val="003C1285"/>
    <w:rsid w:val="003D2935"/>
    <w:rsid w:val="003D3D19"/>
    <w:rsid w:val="003D6401"/>
    <w:rsid w:val="003D7613"/>
    <w:rsid w:val="003E2CFF"/>
    <w:rsid w:val="003E438C"/>
    <w:rsid w:val="003E63C3"/>
    <w:rsid w:val="003E7574"/>
    <w:rsid w:val="003F44E5"/>
    <w:rsid w:val="003F7BF0"/>
    <w:rsid w:val="004002A9"/>
    <w:rsid w:val="00404642"/>
    <w:rsid w:val="00411601"/>
    <w:rsid w:val="004142DC"/>
    <w:rsid w:val="004159D7"/>
    <w:rsid w:val="004169B0"/>
    <w:rsid w:val="0042105F"/>
    <w:rsid w:val="00421066"/>
    <w:rsid w:val="004303BB"/>
    <w:rsid w:val="00430BCF"/>
    <w:rsid w:val="004321CC"/>
    <w:rsid w:val="004323EE"/>
    <w:rsid w:val="00434D32"/>
    <w:rsid w:val="00436C39"/>
    <w:rsid w:val="00437F4B"/>
    <w:rsid w:val="004414E3"/>
    <w:rsid w:val="00446855"/>
    <w:rsid w:val="00460778"/>
    <w:rsid w:val="004620F0"/>
    <w:rsid w:val="004634E3"/>
    <w:rsid w:val="00464BE9"/>
    <w:rsid w:val="00471EE7"/>
    <w:rsid w:val="00473E78"/>
    <w:rsid w:val="0047536D"/>
    <w:rsid w:val="00477270"/>
    <w:rsid w:val="004874F6"/>
    <w:rsid w:val="00491411"/>
    <w:rsid w:val="004924D5"/>
    <w:rsid w:val="00492877"/>
    <w:rsid w:val="00492FB5"/>
    <w:rsid w:val="004939B7"/>
    <w:rsid w:val="00494F4B"/>
    <w:rsid w:val="004950E1"/>
    <w:rsid w:val="00495158"/>
    <w:rsid w:val="004965DD"/>
    <w:rsid w:val="004A01B0"/>
    <w:rsid w:val="004B2B9C"/>
    <w:rsid w:val="004B54D9"/>
    <w:rsid w:val="004C3616"/>
    <w:rsid w:val="004C41FB"/>
    <w:rsid w:val="004C44A9"/>
    <w:rsid w:val="004C49D6"/>
    <w:rsid w:val="004C6FA2"/>
    <w:rsid w:val="004D1C6A"/>
    <w:rsid w:val="004D2644"/>
    <w:rsid w:val="004D7C72"/>
    <w:rsid w:val="004E0342"/>
    <w:rsid w:val="004E53CB"/>
    <w:rsid w:val="004E551E"/>
    <w:rsid w:val="004E5F5E"/>
    <w:rsid w:val="004E6001"/>
    <w:rsid w:val="004F45B2"/>
    <w:rsid w:val="005006C1"/>
    <w:rsid w:val="00503E31"/>
    <w:rsid w:val="005043C9"/>
    <w:rsid w:val="005119F4"/>
    <w:rsid w:val="00511FF5"/>
    <w:rsid w:val="0051327A"/>
    <w:rsid w:val="005157D2"/>
    <w:rsid w:val="005220CC"/>
    <w:rsid w:val="00524A99"/>
    <w:rsid w:val="00527E8F"/>
    <w:rsid w:val="005301D2"/>
    <w:rsid w:val="00546CA6"/>
    <w:rsid w:val="00546CD1"/>
    <w:rsid w:val="005510FC"/>
    <w:rsid w:val="00562522"/>
    <w:rsid w:val="005647E9"/>
    <w:rsid w:val="00566402"/>
    <w:rsid w:val="005664E7"/>
    <w:rsid w:val="00566DB6"/>
    <w:rsid w:val="00570B0D"/>
    <w:rsid w:val="005729E0"/>
    <w:rsid w:val="00577D62"/>
    <w:rsid w:val="00581452"/>
    <w:rsid w:val="005823BA"/>
    <w:rsid w:val="00583326"/>
    <w:rsid w:val="0058566F"/>
    <w:rsid w:val="00587D15"/>
    <w:rsid w:val="00593EC4"/>
    <w:rsid w:val="00594D0D"/>
    <w:rsid w:val="005A484D"/>
    <w:rsid w:val="005A7189"/>
    <w:rsid w:val="005B2187"/>
    <w:rsid w:val="005B52C2"/>
    <w:rsid w:val="005C039E"/>
    <w:rsid w:val="005C1156"/>
    <w:rsid w:val="005C6B1A"/>
    <w:rsid w:val="005C7A01"/>
    <w:rsid w:val="005D67AE"/>
    <w:rsid w:val="005E065F"/>
    <w:rsid w:val="005E37D9"/>
    <w:rsid w:val="005E719F"/>
    <w:rsid w:val="005F390D"/>
    <w:rsid w:val="005F42DC"/>
    <w:rsid w:val="006002DE"/>
    <w:rsid w:val="00602B0C"/>
    <w:rsid w:val="006066D6"/>
    <w:rsid w:val="006067AE"/>
    <w:rsid w:val="006176D5"/>
    <w:rsid w:val="0062164B"/>
    <w:rsid w:val="00634434"/>
    <w:rsid w:val="00641957"/>
    <w:rsid w:val="0064755F"/>
    <w:rsid w:val="006525E6"/>
    <w:rsid w:val="00656919"/>
    <w:rsid w:val="00660D19"/>
    <w:rsid w:val="00667685"/>
    <w:rsid w:val="00670021"/>
    <w:rsid w:val="006710B1"/>
    <w:rsid w:val="00687CEB"/>
    <w:rsid w:val="006935A1"/>
    <w:rsid w:val="006938A0"/>
    <w:rsid w:val="00695377"/>
    <w:rsid w:val="00695A07"/>
    <w:rsid w:val="0069781D"/>
    <w:rsid w:val="006A3CC2"/>
    <w:rsid w:val="006A592D"/>
    <w:rsid w:val="006A59C1"/>
    <w:rsid w:val="006B0EBA"/>
    <w:rsid w:val="006B10A2"/>
    <w:rsid w:val="006B45E6"/>
    <w:rsid w:val="006B6921"/>
    <w:rsid w:val="006B7373"/>
    <w:rsid w:val="006C27CC"/>
    <w:rsid w:val="006C3181"/>
    <w:rsid w:val="006C4814"/>
    <w:rsid w:val="006C5AFD"/>
    <w:rsid w:val="006C71A2"/>
    <w:rsid w:val="006D6CFE"/>
    <w:rsid w:val="006E094A"/>
    <w:rsid w:val="006E0CFF"/>
    <w:rsid w:val="006E128E"/>
    <w:rsid w:val="006E2B70"/>
    <w:rsid w:val="006E4787"/>
    <w:rsid w:val="006E6EC5"/>
    <w:rsid w:val="006F0FCA"/>
    <w:rsid w:val="00720254"/>
    <w:rsid w:val="00726057"/>
    <w:rsid w:val="00731A81"/>
    <w:rsid w:val="00740AB2"/>
    <w:rsid w:val="007466E7"/>
    <w:rsid w:val="00747DDC"/>
    <w:rsid w:val="0075557E"/>
    <w:rsid w:val="00760D71"/>
    <w:rsid w:val="007616ED"/>
    <w:rsid w:val="0076623D"/>
    <w:rsid w:val="00766ECC"/>
    <w:rsid w:val="00766F31"/>
    <w:rsid w:val="00767E3E"/>
    <w:rsid w:val="00775292"/>
    <w:rsid w:val="00775575"/>
    <w:rsid w:val="00776B65"/>
    <w:rsid w:val="00777836"/>
    <w:rsid w:val="00780769"/>
    <w:rsid w:val="00782073"/>
    <w:rsid w:val="007821C5"/>
    <w:rsid w:val="0078261F"/>
    <w:rsid w:val="00783A21"/>
    <w:rsid w:val="0078479D"/>
    <w:rsid w:val="00792053"/>
    <w:rsid w:val="00792D20"/>
    <w:rsid w:val="00796710"/>
    <w:rsid w:val="007A19CC"/>
    <w:rsid w:val="007A514D"/>
    <w:rsid w:val="007A79B1"/>
    <w:rsid w:val="007B02B0"/>
    <w:rsid w:val="007B1652"/>
    <w:rsid w:val="007B4270"/>
    <w:rsid w:val="007B4313"/>
    <w:rsid w:val="007B6558"/>
    <w:rsid w:val="007B6DAB"/>
    <w:rsid w:val="007B6DD1"/>
    <w:rsid w:val="007B7035"/>
    <w:rsid w:val="007C0144"/>
    <w:rsid w:val="007C316D"/>
    <w:rsid w:val="007C490E"/>
    <w:rsid w:val="007C5E7A"/>
    <w:rsid w:val="007C5EDE"/>
    <w:rsid w:val="007C7652"/>
    <w:rsid w:val="007D094D"/>
    <w:rsid w:val="007D2A49"/>
    <w:rsid w:val="007D58EB"/>
    <w:rsid w:val="007D6442"/>
    <w:rsid w:val="007E1CEA"/>
    <w:rsid w:val="007F052B"/>
    <w:rsid w:val="007F2272"/>
    <w:rsid w:val="007F3018"/>
    <w:rsid w:val="007F3FD6"/>
    <w:rsid w:val="007F6ECF"/>
    <w:rsid w:val="007F728D"/>
    <w:rsid w:val="0080373B"/>
    <w:rsid w:val="00803C75"/>
    <w:rsid w:val="00806097"/>
    <w:rsid w:val="00820349"/>
    <w:rsid w:val="00825E5F"/>
    <w:rsid w:val="00827C49"/>
    <w:rsid w:val="0083176B"/>
    <w:rsid w:val="00831863"/>
    <w:rsid w:val="008329B0"/>
    <w:rsid w:val="00833AE9"/>
    <w:rsid w:val="00834B73"/>
    <w:rsid w:val="00837859"/>
    <w:rsid w:val="00840B81"/>
    <w:rsid w:val="00841AAC"/>
    <w:rsid w:val="0084293B"/>
    <w:rsid w:val="00842DF9"/>
    <w:rsid w:val="0084353B"/>
    <w:rsid w:val="00853F0A"/>
    <w:rsid w:val="0085543D"/>
    <w:rsid w:val="00855B8A"/>
    <w:rsid w:val="00856B11"/>
    <w:rsid w:val="00856B1B"/>
    <w:rsid w:val="008604AD"/>
    <w:rsid w:val="0086217D"/>
    <w:rsid w:val="008659F4"/>
    <w:rsid w:val="00871055"/>
    <w:rsid w:val="0087159F"/>
    <w:rsid w:val="008717FE"/>
    <w:rsid w:val="0087284E"/>
    <w:rsid w:val="0087671C"/>
    <w:rsid w:val="00880318"/>
    <w:rsid w:val="00882B73"/>
    <w:rsid w:val="00892A53"/>
    <w:rsid w:val="00896512"/>
    <w:rsid w:val="008A191A"/>
    <w:rsid w:val="008A32F6"/>
    <w:rsid w:val="008A7DA0"/>
    <w:rsid w:val="008C2698"/>
    <w:rsid w:val="008C2CCE"/>
    <w:rsid w:val="008C2D9E"/>
    <w:rsid w:val="008D405C"/>
    <w:rsid w:val="008E110A"/>
    <w:rsid w:val="008E1458"/>
    <w:rsid w:val="008E5BFF"/>
    <w:rsid w:val="008E60CA"/>
    <w:rsid w:val="009007A5"/>
    <w:rsid w:val="00902A73"/>
    <w:rsid w:val="0090551E"/>
    <w:rsid w:val="009109B1"/>
    <w:rsid w:val="00912390"/>
    <w:rsid w:val="009125A0"/>
    <w:rsid w:val="00913BBA"/>
    <w:rsid w:val="009141B8"/>
    <w:rsid w:val="00914E71"/>
    <w:rsid w:val="009214AB"/>
    <w:rsid w:val="009219BC"/>
    <w:rsid w:val="0092274A"/>
    <w:rsid w:val="0092780E"/>
    <w:rsid w:val="009312E1"/>
    <w:rsid w:val="0093726A"/>
    <w:rsid w:val="0093751F"/>
    <w:rsid w:val="0094150B"/>
    <w:rsid w:val="00942C80"/>
    <w:rsid w:val="00945B31"/>
    <w:rsid w:val="009476B3"/>
    <w:rsid w:val="009525AF"/>
    <w:rsid w:val="00952B13"/>
    <w:rsid w:val="00956140"/>
    <w:rsid w:val="0095792F"/>
    <w:rsid w:val="00965042"/>
    <w:rsid w:val="00965FC9"/>
    <w:rsid w:val="00966A81"/>
    <w:rsid w:val="00976942"/>
    <w:rsid w:val="009771E4"/>
    <w:rsid w:val="00981456"/>
    <w:rsid w:val="00982262"/>
    <w:rsid w:val="00984FDE"/>
    <w:rsid w:val="00987011"/>
    <w:rsid w:val="0099690D"/>
    <w:rsid w:val="00996A65"/>
    <w:rsid w:val="009A0C84"/>
    <w:rsid w:val="009A5111"/>
    <w:rsid w:val="009A7470"/>
    <w:rsid w:val="009B198E"/>
    <w:rsid w:val="009B4E8F"/>
    <w:rsid w:val="009C360B"/>
    <w:rsid w:val="009C4C2E"/>
    <w:rsid w:val="009C4EF9"/>
    <w:rsid w:val="009C6104"/>
    <w:rsid w:val="009D06FF"/>
    <w:rsid w:val="009D1A69"/>
    <w:rsid w:val="009D631C"/>
    <w:rsid w:val="009D785C"/>
    <w:rsid w:val="009E09CC"/>
    <w:rsid w:val="009E1B15"/>
    <w:rsid w:val="009E2603"/>
    <w:rsid w:val="009E378A"/>
    <w:rsid w:val="009E4058"/>
    <w:rsid w:val="009E5B04"/>
    <w:rsid w:val="009F21FA"/>
    <w:rsid w:val="009F3970"/>
    <w:rsid w:val="009F740C"/>
    <w:rsid w:val="00A000A7"/>
    <w:rsid w:val="00A05925"/>
    <w:rsid w:val="00A07AD1"/>
    <w:rsid w:val="00A10778"/>
    <w:rsid w:val="00A10EC7"/>
    <w:rsid w:val="00A1551F"/>
    <w:rsid w:val="00A23886"/>
    <w:rsid w:val="00A26D23"/>
    <w:rsid w:val="00A30828"/>
    <w:rsid w:val="00A3330E"/>
    <w:rsid w:val="00A338F5"/>
    <w:rsid w:val="00A34DD0"/>
    <w:rsid w:val="00A454FE"/>
    <w:rsid w:val="00A4601C"/>
    <w:rsid w:val="00A46500"/>
    <w:rsid w:val="00A53F8D"/>
    <w:rsid w:val="00A6019D"/>
    <w:rsid w:val="00A615AB"/>
    <w:rsid w:val="00A67147"/>
    <w:rsid w:val="00A67463"/>
    <w:rsid w:val="00A70603"/>
    <w:rsid w:val="00A71A07"/>
    <w:rsid w:val="00A72C88"/>
    <w:rsid w:val="00A72E2F"/>
    <w:rsid w:val="00A760D1"/>
    <w:rsid w:val="00A81C23"/>
    <w:rsid w:val="00A821D3"/>
    <w:rsid w:val="00A84CB2"/>
    <w:rsid w:val="00A94A2A"/>
    <w:rsid w:val="00A967BB"/>
    <w:rsid w:val="00AA01D5"/>
    <w:rsid w:val="00AA2AF7"/>
    <w:rsid w:val="00AA3B7E"/>
    <w:rsid w:val="00AA70AC"/>
    <w:rsid w:val="00AC2EF1"/>
    <w:rsid w:val="00AC325C"/>
    <w:rsid w:val="00AC3818"/>
    <w:rsid w:val="00AC7B3D"/>
    <w:rsid w:val="00AD02F8"/>
    <w:rsid w:val="00AD11D9"/>
    <w:rsid w:val="00AD7305"/>
    <w:rsid w:val="00AE1748"/>
    <w:rsid w:val="00AE3914"/>
    <w:rsid w:val="00AF0245"/>
    <w:rsid w:val="00AF35F0"/>
    <w:rsid w:val="00AF6B3F"/>
    <w:rsid w:val="00AF7699"/>
    <w:rsid w:val="00B00075"/>
    <w:rsid w:val="00B00591"/>
    <w:rsid w:val="00B01AEC"/>
    <w:rsid w:val="00B01C97"/>
    <w:rsid w:val="00B01D13"/>
    <w:rsid w:val="00B025DE"/>
    <w:rsid w:val="00B11D1D"/>
    <w:rsid w:val="00B2294D"/>
    <w:rsid w:val="00B22B5B"/>
    <w:rsid w:val="00B24CA0"/>
    <w:rsid w:val="00B25BC1"/>
    <w:rsid w:val="00B27B21"/>
    <w:rsid w:val="00B3079D"/>
    <w:rsid w:val="00B345FC"/>
    <w:rsid w:val="00B348FD"/>
    <w:rsid w:val="00B40100"/>
    <w:rsid w:val="00B4460A"/>
    <w:rsid w:val="00B45E2F"/>
    <w:rsid w:val="00B46019"/>
    <w:rsid w:val="00B52AEF"/>
    <w:rsid w:val="00B5494C"/>
    <w:rsid w:val="00B56B11"/>
    <w:rsid w:val="00B65D52"/>
    <w:rsid w:val="00B67A88"/>
    <w:rsid w:val="00B70B24"/>
    <w:rsid w:val="00B72039"/>
    <w:rsid w:val="00B74064"/>
    <w:rsid w:val="00B751F9"/>
    <w:rsid w:val="00B76A42"/>
    <w:rsid w:val="00B76D42"/>
    <w:rsid w:val="00B806C5"/>
    <w:rsid w:val="00B81298"/>
    <w:rsid w:val="00B83646"/>
    <w:rsid w:val="00B85B02"/>
    <w:rsid w:val="00B86CEE"/>
    <w:rsid w:val="00B94832"/>
    <w:rsid w:val="00B96F23"/>
    <w:rsid w:val="00BB74EC"/>
    <w:rsid w:val="00BC42A2"/>
    <w:rsid w:val="00BC4841"/>
    <w:rsid w:val="00BC645B"/>
    <w:rsid w:val="00BD205D"/>
    <w:rsid w:val="00BD3B81"/>
    <w:rsid w:val="00BF2E23"/>
    <w:rsid w:val="00BF4540"/>
    <w:rsid w:val="00BF5FAF"/>
    <w:rsid w:val="00BF7D7E"/>
    <w:rsid w:val="00C012DF"/>
    <w:rsid w:val="00C056FE"/>
    <w:rsid w:val="00C1152B"/>
    <w:rsid w:val="00C13A5F"/>
    <w:rsid w:val="00C15A87"/>
    <w:rsid w:val="00C17586"/>
    <w:rsid w:val="00C250DB"/>
    <w:rsid w:val="00C27B51"/>
    <w:rsid w:val="00C27DC8"/>
    <w:rsid w:val="00C40967"/>
    <w:rsid w:val="00C42945"/>
    <w:rsid w:val="00C47ACE"/>
    <w:rsid w:val="00C52703"/>
    <w:rsid w:val="00C52DCC"/>
    <w:rsid w:val="00C65728"/>
    <w:rsid w:val="00C6628A"/>
    <w:rsid w:val="00C67ACE"/>
    <w:rsid w:val="00C709CF"/>
    <w:rsid w:val="00C74DE5"/>
    <w:rsid w:val="00C7599C"/>
    <w:rsid w:val="00C76586"/>
    <w:rsid w:val="00C80955"/>
    <w:rsid w:val="00C8751C"/>
    <w:rsid w:val="00C9058E"/>
    <w:rsid w:val="00C913C9"/>
    <w:rsid w:val="00C93056"/>
    <w:rsid w:val="00C9415B"/>
    <w:rsid w:val="00C944F6"/>
    <w:rsid w:val="00C951B7"/>
    <w:rsid w:val="00C95343"/>
    <w:rsid w:val="00C96CD1"/>
    <w:rsid w:val="00C96D67"/>
    <w:rsid w:val="00CA17D7"/>
    <w:rsid w:val="00CA339E"/>
    <w:rsid w:val="00CA5391"/>
    <w:rsid w:val="00CA5F36"/>
    <w:rsid w:val="00CA79FA"/>
    <w:rsid w:val="00CA7EB4"/>
    <w:rsid w:val="00CB4027"/>
    <w:rsid w:val="00CB50D0"/>
    <w:rsid w:val="00CB5EEC"/>
    <w:rsid w:val="00CC2DA2"/>
    <w:rsid w:val="00CC694C"/>
    <w:rsid w:val="00CD39C8"/>
    <w:rsid w:val="00CD41F9"/>
    <w:rsid w:val="00CD4D51"/>
    <w:rsid w:val="00CD5541"/>
    <w:rsid w:val="00CE159D"/>
    <w:rsid w:val="00CE1639"/>
    <w:rsid w:val="00CF0767"/>
    <w:rsid w:val="00CF100F"/>
    <w:rsid w:val="00CF220D"/>
    <w:rsid w:val="00CF24D3"/>
    <w:rsid w:val="00CF6820"/>
    <w:rsid w:val="00CF76D6"/>
    <w:rsid w:val="00CF7B01"/>
    <w:rsid w:val="00D00E90"/>
    <w:rsid w:val="00D01582"/>
    <w:rsid w:val="00D02CEE"/>
    <w:rsid w:val="00D03768"/>
    <w:rsid w:val="00D06D0E"/>
    <w:rsid w:val="00D14183"/>
    <w:rsid w:val="00D15207"/>
    <w:rsid w:val="00D31C9F"/>
    <w:rsid w:val="00D3243B"/>
    <w:rsid w:val="00D378C6"/>
    <w:rsid w:val="00D44704"/>
    <w:rsid w:val="00D461D7"/>
    <w:rsid w:val="00D47339"/>
    <w:rsid w:val="00D549DC"/>
    <w:rsid w:val="00D56CC5"/>
    <w:rsid w:val="00D60C22"/>
    <w:rsid w:val="00D66984"/>
    <w:rsid w:val="00D6728D"/>
    <w:rsid w:val="00D70E1D"/>
    <w:rsid w:val="00D73726"/>
    <w:rsid w:val="00D8225E"/>
    <w:rsid w:val="00D83CCC"/>
    <w:rsid w:val="00D9097E"/>
    <w:rsid w:val="00D92F22"/>
    <w:rsid w:val="00D937C4"/>
    <w:rsid w:val="00D9628A"/>
    <w:rsid w:val="00DA6D02"/>
    <w:rsid w:val="00DB236F"/>
    <w:rsid w:val="00DB3EEE"/>
    <w:rsid w:val="00DB7943"/>
    <w:rsid w:val="00DC1996"/>
    <w:rsid w:val="00DC2677"/>
    <w:rsid w:val="00DC7370"/>
    <w:rsid w:val="00DC7814"/>
    <w:rsid w:val="00DC7EE1"/>
    <w:rsid w:val="00DD43D8"/>
    <w:rsid w:val="00DE0AF6"/>
    <w:rsid w:val="00DE2EDD"/>
    <w:rsid w:val="00DE3002"/>
    <w:rsid w:val="00DF0A47"/>
    <w:rsid w:val="00DF6A22"/>
    <w:rsid w:val="00E0392E"/>
    <w:rsid w:val="00E047DC"/>
    <w:rsid w:val="00E0666A"/>
    <w:rsid w:val="00E11889"/>
    <w:rsid w:val="00E11B78"/>
    <w:rsid w:val="00E177FC"/>
    <w:rsid w:val="00E21735"/>
    <w:rsid w:val="00E22316"/>
    <w:rsid w:val="00E2487A"/>
    <w:rsid w:val="00E24955"/>
    <w:rsid w:val="00E24C34"/>
    <w:rsid w:val="00E32222"/>
    <w:rsid w:val="00E32254"/>
    <w:rsid w:val="00E36276"/>
    <w:rsid w:val="00E41FCF"/>
    <w:rsid w:val="00E44598"/>
    <w:rsid w:val="00E44FD8"/>
    <w:rsid w:val="00E50D24"/>
    <w:rsid w:val="00E51157"/>
    <w:rsid w:val="00E62324"/>
    <w:rsid w:val="00E66162"/>
    <w:rsid w:val="00E663CF"/>
    <w:rsid w:val="00E70E51"/>
    <w:rsid w:val="00E7320B"/>
    <w:rsid w:val="00E73739"/>
    <w:rsid w:val="00E73B60"/>
    <w:rsid w:val="00E74B05"/>
    <w:rsid w:val="00E768E4"/>
    <w:rsid w:val="00E810B5"/>
    <w:rsid w:val="00E83509"/>
    <w:rsid w:val="00E8684E"/>
    <w:rsid w:val="00E913F3"/>
    <w:rsid w:val="00E921FA"/>
    <w:rsid w:val="00E9277A"/>
    <w:rsid w:val="00E92DDA"/>
    <w:rsid w:val="00E95905"/>
    <w:rsid w:val="00E965C4"/>
    <w:rsid w:val="00EA07DD"/>
    <w:rsid w:val="00EA3C23"/>
    <w:rsid w:val="00EA52C9"/>
    <w:rsid w:val="00EB2A53"/>
    <w:rsid w:val="00EB41D8"/>
    <w:rsid w:val="00EB440A"/>
    <w:rsid w:val="00EB457E"/>
    <w:rsid w:val="00EB6EF4"/>
    <w:rsid w:val="00EC0990"/>
    <w:rsid w:val="00EC1324"/>
    <w:rsid w:val="00EC4286"/>
    <w:rsid w:val="00ED64B8"/>
    <w:rsid w:val="00ED6541"/>
    <w:rsid w:val="00ED7066"/>
    <w:rsid w:val="00EE3188"/>
    <w:rsid w:val="00EE6581"/>
    <w:rsid w:val="00EF0EBC"/>
    <w:rsid w:val="00F0035C"/>
    <w:rsid w:val="00F01AB4"/>
    <w:rsid w:val="00F03F45"/>
    <w:rsid w:val="00F0745E"/>
    <w:rsid w:val="00F10075"/>
    <w:rsid w:val="00F12FE7"/>
    <w:rsid w:val="00F136B3"/>
    <w:rsid w:val="00F136EA"/>
    <w:rsid w:val="00F203CE"/>
    <w:rsid w:val="00F20451"/>
    <w:rsid w:val="00F224B6"/>
    <w:rsid w:val="00F23F6E"/>
    <w:rsid w:val="00F265B6"/>
    <w:rsid w:val="00F30727"/>
    <w:rsid w:val="00F3295D"/>
    <w:rsid w:val="00F455CB"/>
    <w:rsid w:val="00F46E01"/>
    <w:rsid w:val="00F508FF"/>
    <w:rsid w:val="00F51017"/>
    <w:rsid w:val="00F526C8"/>
    <w:rsid w:val="00F54E7A"/>
    <w:rsid w:val="00F554EC"/>
    <w:rsid w:val="00F55BBD"/>
    <w:rsid w:val="00F613C5"/>
    <w:rsid w:val="00F616A7"/>
    <w:rsid w:val="00F6261E"/>
    <w:rsid w:val="00F6450F"/>
    <w:rsid w:val="00F67B94"/>
    <w:rsid w:val="00F773B0"/>
    <w:rsid w:val="00F82110"/>
    <w:rsid w:val="00F8252F"/>
    <w:rsid w:val="00F83CE8"/>
    <w:rsid w:val="00F94FE0"/>
    <w:rsid w:val="00F9787E"/>
    <w:rsid w:val="00F97A9D"/>
    <w:rsid w:val="00FA1583"/>
    <w:rsid w:val="00FA3D94"/>
    <w:rsid w:val="00FA406F"/>
    <w:rsid w:val="00FA46FF"/>
    <w:rsid w:val="00FB04E1"/>
    <w:rsid w:val="00FB07AC"/>
    <w:rsid w:val="00FB189C"/>
    <w:rsid w:val="00FB28AA"/>
    <w:rsid w:val="00FC2EC3"/>
    <w:rsid w:val="00FC4BBA"/>
    <w:rsid w:val="00FC6997"/>
    <w:rsid w:val="00FC7746"/>
    <w:rsid w:val="00FD120C"/>
    <w:rsid w:val="00FD58A9"/>
    <w:rsid w:val="00FD5B46"/>
    <w:rsid w:val="00FE330B"/>
    <w:rsid w:val="00FE6617"/>
    <w:rsid w:val="00FF2139"/>
    <w:rsid w:val="00FF3012"/>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0F7CC"/>
  <w15:docId w15:val="{2045C2AB-2EBF-4F6B-A293-60A6910E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2B0"/>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842DF9"/>
    <w:pPr>
      <w:adjustRightInd w:val="0"/>
    </w:pPr>
    <w:rPr>
      <w:sz w:val="20"/>
    </w:rPr>
  </w:style>
  <w:style w:type="paragraph" w:styleId="Footer">
    <w:name w:val="footer"/>
    <w:basedOn w:val="Normal"/>
    <w:link w:val="FooterChar"/>
    <w:rsid w:val="00CA17D7"/>
    <w:pPr>
      <w:widowControl/>
      <w:tabs>
        <w:tab w:val="center" w:pos="4320"/>
        <w:tab w:val="right" w:pos="8640"/>
      </w:tabs>
      <w:autoSpaceDE/>
      <w:autoSpaceDN/>
      <w:spacing w:line="240" w:lineRule="exact"/>
      <w:jc w:val="center"/>
    </w:pPr>
    <w:rPr>
      <w:sz w:val="20"/>
      <w:szCs w:val="20"/>
    </w:rPr>
  </w:style>
  <w:style w:type="character" w:customStyle="1" w:styleId="FooterChar">
    <w:name w:val="Footer Char"/>
    <w:basedOn w:val="DefaultParagraphFont"/>
    <w:link w:val="Footer"/>
    <w:rsid w:val="00CA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760">
      <w:bodyDiv w:val="1"/>
      <w:marLeft w:val="0"/>
      <w:marRight w:val="0"/>
      <w:marTop w:val="0"/>
      <w:marBottom w:val="0"/>
      <w:divBdr>
        <w:top w:val="none" w:sz="0" w:space="0" w:color="auto"/>
        <w:left w:val="none" w:sz="0" w:space="0" w:color="auto"/>
        <w:bottom w:val="none" w:sz="0" w:space="0" w:color="auto"/>
        <w:right w:val="none" w:sz="0" w:space="0" w:color="auto"/>
      </w:divBdr>
    </w:div>
    <w:div w:id="168254824">
      <w:bodyDiv w:val="1"/>
      <w:marLeft w:val="0"/>
      <w:marRight w:val="0"/>
      <w:marTop w:val="0"/>
      <w:marBottom w:val="0"/>
      <w:divBdr>
        <w:top w:val="none" w:sz="0" w:space="0" w:color="auto"/>
        <w:left w:val="none" w:sz="0" w:space="0" w:color="auto"/>
        <w:bottom w:val="none" w:sz="0" w:space="0" w:color="auto"/>
        <w:right w:val="none" w:sz="0" w:space="0" w:color="auto"/>
      </w:divBdr>
    </w:div>
    <w:div w:id="201407429">
      <w:bodyDiv w:val="1"/>
      <w:marLeft w:val="0"/>
      <w:marRight w:val="0"/>
      <w:marTop w:val="0"/>
      <w:marBottom w:val="0"/>
      <w:divBdr>
        <w:top w:val="none" w:sz="0" w:space="0" w:color="auto"/>
        <w:left w:val="none" w:sz="0" w:space="0" w:color="auto"/>
        <w:bottom w:val="none" w:sz="0" w:space="0" w:color="auto"/>
        <w:right w:val="none" w:sz="0" w:space="0" w:color="auto"/>
      </w:divBdr>
    </w:div>
    <w:div w:id="203643932">
      <w:bodyDiv w:val="1"/>
      <w:marLeft w:val="0"/>
      <w:marRight w:val="0"/>
      <w:marTop w:val="0"/>
      <w:marBottom w:val="0"/>
      <w:divBdr>
        <w:top w:val="none" w:sz="0" w:space="0" w:color="auto"/>
        <w:left w:val="none" w:sz="0" w:space="0" w:color="auto"/>
        <w:bottom w:val="none" w:sz="0" w:space="0" w:color="auto"/>
        <w:right w:val="none" w:sz="0" w:space="0" w:color="auto"/>
      </w:divBdr>
    </w:div>
    <w:div w:id="284318143">
      <w:bodyDiv w:val="1"/>
      <w:marLeft w:val="0"/>
      <w:marRight w:val="0"/>
      <w:marTop w:val="0"/>
      <w:marBottom w:val="0"/>
      <w:divBdr>
        <w:top w:val="none" w:sz="0" w:space="0" w:color="auto"/>
        <w:left w:val="none" w:sz="0" w:space="0" w:color="auto"/>
        <w:bottom w:val="none" w:sz="0" w:space="0" w:color="auto"/>
        <w:right w:val="none" w:sz="0" w:space="0" w:color="auto"/>
      </w:divBdr>
    </w:div>
    <w:div w:id="321617405">
      <w:bodyDiv w:val="1"/>
      <w:marLeft w:val="0"/>
      <w:marRight w:val="0"/>
      <w:marTop w:val="0"/>
      <w:marBottom w:val="0"/>
      <w:divBdr>
        <w:top w:val="none" w:sz="0" w:space="0" w:color="auto"/>
        <w:left w:val="none" w:sz="0" w:space="0" w:color="auto"/>
        <w:bottom w:val="none" w:sz="0" w:space="0" w:color="auto"/>
        <w:right w:val="none" w:sz="0" w:space="0" w:color="auto"/>
      </w:divBdr>
    </w:div>
    <w:div w:id="385689252">
      <w:bodyDiv w:val="1"/>
      <w:marLeft w:val="0"/>
      <w:marRight w:val="0"/>
      <w:marTop w:val="0"/>
      <w:marBottom w:val="0"/>
      <w:divBdr>
        <w:top w:val="none" w:sz="0" w:space="0" w:color="auto"/>
        <w:left w:val="none" w:sz="0" w:space="0" w:color="auto"/>
        <w:bottom w:val="none" w:sz="0" w:space="0" w:color="auto"/>
        <w:right w:val="none" w:sz="0" w:space="0" w:color="auto"/>
      </w:divBdr>
    </w:div>
    <w:div w:id="407460875">
      <w:bodyDiv w:val="1"/>
      <w:marLeft w:val="0"/>
      <w:marRight w:val="0"/>
      <w:marTop w:val="0"/>
      <w:marBottom w:val="0"/>
      <w:divBdr>
        <w:top w:val="none" w:sz="0" w:space="0" w:color="auto"/>
        <w:left w:val="none" w:sz="0" w:space="0" w:color="auto"/>
        <w:bottom w:val="none" w:sz="0" w:space="0" w:color="auto"/>
        <w:right w:val="none" w:sz="0" w:space="0" w:color="auto"/>
      </w:divBdr>
    </w:div>
    <w:div w:id="420879307">
      <w:bodyDiv w:val="1"/>
      <w:marLeft w:val="0"/>
      <w:marRight w:val="0"/>
      <w:marTop w:val="0"/>
      <w:marBottom w:val="0"/>
      <w:divBdr>
        <w:top w:val="none" w:sz="0" w:space="0" w:color="auto"/>
        <w:left w:val="none" w:sz="0" w:space="0" w:color="auto"/>
        <w:bottom w:val="none" w:sz="0" w:space="0" w:color="auto"/>
        <w:right w:val="none" w:sz="0" w:space="0" w:color="auto"/>
      </w:divBdr>
    </w:div>
    <w:div w:id="472917430">
      <w:bodyDiv w:val="1"/>
      <w:marLeft w:val="0"/>
      <w:marRight w:val="0"/>
      <w:marTop w:val="0"/>
      <w:marBottom w:val="0"/>
      <w:divBdr>
        <w:top w:val="none" w:sz="0" w:space="0" w:color="auto"/>
        <w:left w:val="none" w:sz="0" w:space="0" w:color="auto"/>
        <w:bottom w:val="none" w:sz="0" w:space="0" w:color="auto"/>
        <w:right w:val="none" w:sz="0" w:space="0" w:color="auto"/>
      </w:divBdr>
    </w:div>
    <w:div w:id="484124358">
      <w:bodyDiv w:val="1"/>
      <w:marLeft w:val="0"/>
      <w:marRight w:val="0"/>
      <w:marTop w:val="0"/>
      <w:marBottom w:val="0"/>
      <w:divBdr>
        <w:top w:val="none" w:sz="0" w:space="0" w:color="auto"/>
        <w:left w:val="none" w:sz="0" w:space="0" w:color="auto"/>
        <w:bottom w:val="none" w:sz="0" w:space="0" w:color="auto"/>
        <w:right w:val="none" w:sz="0" w:space="0" w:color="auto"/>
      </w:divBdr>
    </w:div>
    <w:div w:id="489559984">
      <w:bodyDiv w:val="1"/>
      <w:marLeft w:val="0"/>
      <w:marRight w:val="0"/>
      <w:marTop w:val="0"/>
      <w:marBottom w:val="0"/>
      <w:divBdr>
        <w:top w:val="none" w:sz="0" w:space="0" w:color="auto"/>
        <w:left w:val="none" w:sz="0" w:space="0" w:color="auto"/>
        <w:bottom w:val="none" w:sz="0" w:space="0" w:color="auto"/>
        <w:right w:val="none" w:sz="0" w:space="0" w:color="auto"/>
      </w:divBdr>
    </w:div>
    <w:div w:id="597712062">
      <w:bodyDiv w:val="1"/>
      <w:marLeft w:val="0"/>
      <w:marRight w:val="0"/>
      <w:marTop w:val="0"/>
      <w:marBottom w:val="0"/>
      <w:divBdr>
        <w:top w:val="none" w:sz="0" w:space="0" w:color="auto"/>
        <w:left w:val="none" w:sz="0" w:space="0" w:color="auto"/>
        <w:bottom w:val="none" w:sz="0" w:space="0" w:color="auto"/>
        <w:right w:val="none" w:sz="0" w:space="0" w:color="auto"/>
      </w:divBdr>
    </w:div>
    <w:div w:id="627007707">
      <w:bodyDiv w:val="1"/>
      <w:marLeft w:val="0"/>
      <w:marRight w:val="0"/>
      <w:marTop w:val="0"/>
      <w:marBottom w:val="0"/>
      <w:divBdr>
        <w:top w:val="none" w:sz="0" w:space="0" w:color="auto"/>
        <w:left w:val="none" w:sz="0" w:space="0" w:color="auto"/>
        <w:bottom w:val="none" w:sz="0" w:space="0" w:color="auto"/>
        <w:right w:val="none" w:sz="0" w:space="0" w:color="auto"/>
      </w:divBdr>
    </w:div>
    <w:div w:id="633028280">
      <w:bodyDiv w:val="1"/>
      <w:marLeft w:val="0"/>
      <w:marRight w:val="0"/>
      <w:marTop w:val="0"/>
      <w:marBottom w:val="0"/>
      <w:divBdr>
        <w:top w:val="none" w:sz="0" w:space="0" w:color="auto"/>
        <w:left w:val="none" w:sz="0" w:space="0" w:color="auto"/>
        <w:bottom w:val="none" w:sz="0" w:space="0" w:color="auto"/>
        <w:right w:val="none" w:sz="0" w:space="0" w:color="auto"/>
      </w:divBdr>
    </w:div>
    <w:div w:id="677148848">
      <w:bodyDiv w:val="1"/>
      <w:marLeft w:val="0"/>
      <w:marRight w:val="0"/>
      <w:marTop w:val="0"/>
      <w:marBottom w:val="0"/>
      <w:divBdr>
        <w:top w:val="none" w:sz="0" w:space="0" w:color="auto"/>
        <w:left w:val="none" w:sz="0" w:space="0" w:color="auto"/>
        <w:bottom w:val="none" w:sz="0" w:space="0" w:color="auto"/>
        <w:right w:val="none" w:sz="0" w:space="0" w:color="auto"/>
      </w:divBdr>
    </w:div>
    <w:div w:id="737896315">
      <w:bodyDiv w:val="1"/>
      <w:marLeft w:val="0"/>
      <w:marRight w:val="0"/>
      <w:marTop w:val="0"/>
      <w:marBottom w:val="0"/>
      <w:divBdr>
        <w:top w:val="none" w:sz="0" w:space="0" w:color="auto"/>
        <w:left w:val="none" w:sz="0" w:space="0" w:color="auto"/>
        <w:bottom w:val="none" w:sz="0" w:space="0" w:color="auto"/>
        <w:right w:val="none" w:sz="0" w:space="0" w:color="auto"/>
      </w:divBdr>
    </w:div>
    <w:div w:id="753548245">
      <w:bodyDiv w:val="1"/>
      <w:marLeft w:val="0"/>
      <w:marRight w:val="0"/>
      <w:marTop w:val="0"/>
      <w:marBottom w:val="0"/>
      <w:divBdr>
        <w:top w:val="none" w:sz="0" w:space="0" w:color="auto"/>
        <w:left w:val="none" w:sz="0" w:space="0" w:color="auto"/>
        <w:bottom w:val="none" w:sz="0" w:space="0" w:color="auto"/>
        <w:right w:val="none" w:sz="0" w:space="0" w:color="auto"/>
      </w:divBdr>
    </w:div>
    <w:div w:id="800728491">
      <w:bodyDiv w:val="1"/>
      <w:marLeft w:val="0"/>
      <w:marRight w:val="0"/>
      <w:marTop w:val="0"/>
      <w:marBottom w:val="0"/>
      <w:divBdr>
        <w:top w:val="none" w:sz="0" w:space="0" w:color="auto"/>
        <w:left w:val="none" w:sz="0" w:space="0" w:color="auto"/>
        <w:bottom w:val="none" w:sz="0" w:space="0" w:color="auto"/>
        <w:right w:val="none" w:sz="0" w:space="0" w:color="auto"/>
      </w:divBdr>
    </w:div>
    <w:div w:id="826475159">
      <w:bodyDiv w:val="1"/>
      <w:marLeft w:val="0"/>
      <w:marRight w:val="0"/>
      <w:marTop w:val="0"/>
      <w:marBottom w:val="0"/>
      <w:divBdr>
        <w:top w:val="none" w:sz="0" w:space="0" w:color="auto"/>
        <w:left w:val="none" w:sz="0" w:space="0" w:color="auto"/>
        <w:bottom w:val="none" w:sz="0" w:space="0" w:color="auto"/>
        <w:right w:val="none" w:sz="0" w:space="0" w:color="auto"/>
      </w:divBdr>
    </w:div>
    <w:div w:id="956180975">
      <w:bodyDiv w:val="1"/>
      <w:marLeft w:val="0"/>
      <w:marRight w:val="0"/>
      <w:marTop w:val="0"/>
      <w:marBottom w:val="0"/>
      <w:divBdr>
        <w:top w:val="none" w:sz="0" w:space="0" w:color="auto"/>
        <w:left w:val="none" w:sz="0" w:space="0" w:color="auto"/>
        <w:bottom w:val="none" w:sz="0" w:space="0" w:color="auto"/>
        <w:right w:val="none" w:sz="0" w:space="0" w:color="auto"/>
      </w:divBdr>
    </w:div>
    <w:div w:id="1001591501">
      <w:bodyDiv w:val="1"/>
      <w:marLeft w:val="0"/>
      <w:marRight w:val="0"/>
      <w:marTop w:val="0"/>
      <w:marBottom w:val="0"/>
      <w:divBdr>
        <w:top w:val="none" w:sz="0" w:space="0" w:color="auto"/>
        <w:left w:val="none" w:sz="0" w:space="0" w:color="auto"/>
        <w:bottom w:val="none" w:sz="0" w:space="0" w:color="auto"/>
        <w:right w:val="none" w:sz="0" w:space="0" w:color="auto"/>
      </w:divBdr>
    </w:div>
    <w:div w:id="1008748509">
      <w:bodyDiv w:val="1"/>
      <w:marLeft w:val="0"/>
      <w:marRight w:val="0"/>
      <w:marTop w:val="0"/>
      <w:marBottom w:val="0"/>
      <w:divBdr>
        <w:top w:val="none" w:sz="0" w:space="0" w:color="auto"/>
        <w:left w:val="none" w:sz="0" w:space="0" w:color="auto"/>
        <w:bottom w:val="none" w:sz="0" w:space="0" w:color="auto"/>
        <w:right w:val="none" w:sz="0" w:space="0" w:color="auto"/>
      </w:divBdr>
    </w:div>
    <w:div w:id="1035733793">
      <w:bodyDiv w:val="1"/>
      <w:marLeft w:val="0"/>
      <w:marRight w:val="0"/>
      <w:marTop w:val="0"/>
      <w:marBottom w:val="0"/>
      <w:divBdr>
        <w:top w:val="none" w:sz="0" w:space="0" w:color="auto"/>
        <w:left w:val="none" w:sz="0" w:space="0" w:color="auto"/>
        <w:bottom w:val="none" w:sz="0" w:space="0" w:color="auto"/>
        <w:right w:val="none" w:sz="0" w:space="0" w:color="auto"/>
      </w:divBdr>
    </w:div>
    <w:div w:id="1055423957">
      <w:bodyDiv w:val="1"/>
      <w:marLeft w:val="0"/>
      <w:marRight w:val="0"/>
      <w:marTop w:val="0"/>
      <w:marBottom w:val="0"/>
      <w:divBdr>
        <w:top w:val="none" w:sz="0" w:space="0" w:color="auto"/>
        <w:left w:val="none" w:sz="0" w:space="0" w:color="auto"/>
        <w:bottom w:val="none" w:sz="0" w:space="0" w:color="auto"/>
        <w:right w:val="none" w:sz="0" w:space="0" w:color="auto"/>
      </w:divBdr>
    </w:div>
    <w:div w:id="1167330776">
      <w:bodyDiv w:val="1"/>
      <w:marLeft w:val="0"/>
      <w:marRight w:val="0"/>
      <w:marTop w:val="0"/>
      <w:marBottom w:val="0"/>
      <w:divBdr>
        <w:top w:val="none" w:sz="0" w:space="0" w:color="auto"/>
        <w:left w:val="none" w:sz="0" w:space="0" w:color="auto"/>
        <w:bottom w:val="none" w:sz="0" w:space="0" w:color="auto"/>
        <w:right w:val="none" w:sz="0" w:space="0" w:color="auto"/>
      </w:divBdr>
    </w:div>
    <w:div w:id="1287196586">
      <w:bodyDiv w:val="1"/>
      <w:marLeft w:val="0"/>
      <w:marRight w:val="0"/>
      <w:marTop w:val="0"/>
      <w:marBottom w:val="0"/>
      <w:divBdr>
        <w:top w:val="none" w:sz="0" w:space="0" w:color="auto"/>
        <w:left w:val="none" w:sz="0" w:space="0" w:color="auto"/>
        <w:bottom w:val="none" w:sz="0" w:space="0" w:color="auto"/>
        <w:right w:val="none" w:sz="0" w:space="0" w:color="auto"/>
      </w:divBdr>
    </w:div>
    <w:div w:id="1326784126">
      <w:bodyDiv w:val="1"/>
      <w:marLeft w:val="0"/>
      <w:marRight w:val="0"/>
      <w:marTop w:val="0"/>
      <w:marBottom w:val="0"/>
      <w:divBdr>
        <w:top w:val="none" w:sz="0" w:space="0" w:color="auto"/>
        <w:left w:val="none" w:sz="0" w:space="0" w:color="auto"/>
        <w:bottom w:val="none" w:sz="0" w:space="0" w:color="auto"/>
        <w:right w:val="none" w:sz="0" w:space="0" w:color="auto"/>
      </w:divBdr>
    </w:div>
    <w:div w:id="1343167891">
      <w:bodyDiv w:val="1"/>
      <w:marLeft w:val="0"/>
      <w:marRight w:val="0"/>
      <w:marTop w:val="0"/>
      <w:marBottom w:val="0"/>
      <w:divBdr>
        <w:top w:val="none" w:sz="0" w:space="0" w:color="auto"/>
        <w:left w:val="none" w:sz="0" w:space="0" w:color="auto"/>
        <w:bottom w:val="none" w:sz="0" w:space="0" w:color="auto"/>
        <w:right w:val="none" w:sz="0" w:space="0" w:color="auto"/>
      </w:divBdr>
    </w:div>
    <w:div w:id="1435058504">
      <w:bodyDiv w:val="1"/>
      <w:marLeft w:val="0"/>
      <w:marRight w:val="0"/>
      <w:marTop w:val="0"/>
      <w:marBottom w:val="0"/>
      <w:divBdr>
        <w:top w:val="none" w:sz="0" w:space="0" w:color="auto"/>
        <w:left w:val="none" w:sz="0" w:space="0" w:color="auto"/>
        <w:bottom w:val="none" w:sz="0" w:space="0" w:color="auto"/>
        <w:right w:val="none" w:sz="0" w:space="0" w:color="auto"/>
      </w:divBdr>
    </w:div>
    <w:div w:id="1488088565">
      <w:bodyDiv w:val="1"/>
      <w:marLeft w:val="0"/>
      <w:marRight w:val="0"/>
      <w:marTop w:val="0"/>
      <w:marBottom w:val="0"/>
      <w:divBdr>
        <w:top w:val="none" w:sz="0" w:space="0" w:color="auto"/>
        <w:left w:val="none" w:sz="0" w:space="0" w:color="auto"/>
        <w:bottom w:val="none" w:sz="0" w:space="0" w:color="auto"/>
        <w:right w:val="none" w:sz="0" w:space="0" w:color="auto"/>
      </w:divBdr>
    </w:div>
    <w:div w:id="1526089685">
      <w:bodyDiv w:val="1"/>
      <w:marLeft w:val="0"/>
      <w:marRight w:val="0"/>
      <w:marTop w:val="0"/>
      <w:marBottom w:val="0"/>
      <w:divBdr>
        <w:top w:val="none" w:sz="0" w:space="0" w:color="auto"/>
        <w:left w:val="none" w:sz="0" w:space="0" w:color="auto"/>
        <w:bottom w:val="none" w:sz="0" w:space="0" w:color="auto"/>
        <w:right w:val="none" w:sz="0" w:space="0" w:color="auto"/>
      </w:divBdr>
    </w:div>
    <w:div w:id="1693723242">
      <w:bodyDiv w:val="1"/>
      <w:marLeft w:val="0"/>
      <w:marRight w:val="0"/>
      <w:marTop w:val="0"/>
      <w:marBottom w:val="0"/>
      <w:divBdr>
        <w:top w:val="none" w:sz="0" w:space="0" w:color="auto"/>
        <w:left w:val="none" w:sz="0" w:space="0" w:color="auto"/>
        <w:bottom w:val="none" w:sz="0" w:space="0" w:color="auto"/>
        <w:right w:val="none" w:sz="0" w:space="0" w:color="auto"/>
      </w:divBdr>
    </w:div>
    <w:div w:id="1801533458">
      <w:bodyDiv w:val="1"/>
      <w:marLeft w:val="0"/>
      <w:marRight w:val="0"/>
      <w:marTop w:val="0"/>
      <w:marBottom w:val="0"/>
      <w:divBdr>
        <w:top w:val="none" w:sz="0" w:space="0" w:color="auto"/>
        <w:left w:val="none" w:sz="0" w:space="0" w:color="auto"/>
        <w:bottom w:val="none" w:sz="0" w:space="0" w:color="auto"/>
        <w:right w:val="none" w:sz="0" w:space="0" w:color="auto"/>
      </w:divBdr>
    </w:div>
    <w:div w:id="1819030342">
      <w:bodyDiv w:val="1"/>
      <w:marLeft w:val="0"/>
      <w:marRight w:val="0"/>
      <w:marTop w:val="0"/>
      <w:marBottom w:val="0"/>
      <w:divBdr>
        <w:top w:val="none" w:sz="0" w:space="0" w:color="auto"/>
        <w:left w:val="none" w:sz="0" w:space="0" w:color="auto"/>
        <w:bottom w:val="none" w:sz="0" w:space="0" w:color="auto"/>
        <w:right w:val="none" w:sz="0" w:space="0" w:color="auto"/>
      </w:divBdr>
    </w:div>
    <w:div w:id="1844398049">
      <w:bodyDiv w:val="1"/>
      <w:marLeft w:val="0"/>
      <w:marRight w:val="0"/>
      <w:marTop w:val="0"/>
      <w:marBottom w:val="0"/>
      <w:divBdr>
        <w:top w:val="none" w:sz="0" w:space="0" w:color="auto"/>
        <w:left w:val="none" w:sz="0" w:space="0" w:color="auto"/>
        <w:bottom w:val="none" w:sz="0" w:space="0" w:color="auto"/>
        <w:right w:val="none" w:sz="0" w:space="0" w:color="auto"/>
      </w:divBdr>
    </w:div>
    <w:div w:id="1929149752">
      <w:bodyDiv w:val="1"/>
      <w:marLeft w:val="0"/>
      <w:marRight w:val="0"/>
      <w:marTop w:val="0"/>
      <w:marBottom w:val="0"/>
      <w:divBdr>
        <w:top w:val="none" w:sz="0" w:space="0" w:color="auto"/>
        <w:left w:val="none" w:sz="0" w:space="0" w:color="auto"/>
        <w:bottom w:val="none" w:sz="0" w:space="0" w:color="auto"/>
        <w:right w:val="none" w:sz="0" w:space="0" w:color="auto"/>
      </w:divBdr>
    </w:div>
    <w:div w:id="2001035523">
      <w:bodyDiv w:val="1"/>
      <w:marLeft w:val="0"/>
      <w:marRight w:val="0"/>
      <w:marTop w:val="0"/>
      <w:marBottom w:val="0"/>
      <w:divBdr>
        <w:top w:val="none" w:sz="0" w:space="0" w:color="auto"/>
        <w:left w:val="none" w:sz="0" w:space="0" w:color="auto"/>
        <w:bottom w:val="none" w:sz="0" w:space="0" w:color="auto"/>
        <w:right w:val="none" w:sz="0" w:space="0" w:color="auto"/>
      </w:divBdr>
    </w:div>
    <w:div w:id="2017346538">
      <w:bodyDiv w:val="1"/>
      <w:marLeft w:val="0"/>
      <w:marRight w:val="0"/>
      <w:marTop w:val="0"/>
      <w:marBottom w:val="0"/>
      <w:divBdr>
        <w:top w:val="none" w:sz="0" w:space="0" w:color="auto"/>
        <w:left w:val="none" w:sz="0" w:space="0" w:color="auto"/>
        <w:bottom w:val="none" w:sz="0" w:space="0" w:color="auto"/>
        <w:right w:val="none" w:sz="0" w:space="0" w:color="auto"/>
      </w:divBdr>
    </w:div>
    <w:div w:id="2029333733">
      <w:bodyDiv w:val="1"/>
      <w:marLeft w:val="0"/>
      <w:marRight w:val="0"/>
      <w:marTop w:val="0"/>
      <w:marBottom w:val="0"/>
      <w:divBdr>
        <w:top w:val="none" w:sz="0" w:space="0" w:color="auto"/>
        <w:left w:val="none" w:sz="0" w:space="0" w:color="auto"/>
        <w:bottom w:val="none" w:sz="0" w:space="0" w:color="auto"/>
        <w:right w:val="none" w:sz="0" w:space="0" w:color="auto"/>
      </w:divBdr>
    </w:div>
    <w:div w:id="20792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AD07-AF5B-44E7-8482-1DDC366E795E}">
  <ds:schemaRefs>
    <ds:schemaRef ds:uri="http://schemas.microsoft.com/sharepoint/v3/contenttype/forms"/>
  </ds:schemaRefs>
</ds:datastoreItem>
</file>

<file path=customXml/itemProps2.xml><?xml version="1.0" encoding="utf-8"?>
<ds:datastoreItem xmlns:ds="http://schemas.openxmlformats.org/officeDocument/2006/customXml" ds:itemID="{A268BF73-6BF1-41FB-8272-F422B9B02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D23454-E116-4F3A-BF23-8802083E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B3EC73-8BE2-41AC-974C-1FDC0F8E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Fayette County School System</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Jordan</cp:lastModifiedBy>
  <cp:revision>2</cp:revision>
  <cp:lastPrinted>2012-03-21T03:43:00Z</cp:lastPrinted>
  <dcterms:created xsi:type="dcterms:W3CDTF">2018-07-11T16:49:00Z</dcterms:created>
  <dcterms:modified xsi:type="dcterms:W3CDTF">2018-07-11T16:49:00Z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0x01010052F94E32267CCF4CB90C99C92E523433</vt:lpwstr>
  </property>
</Properties>
</file>